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B4B11" w14:textId="6E28CEDF" w:rsidR="00B76D85" w:rsidRPr="0010078B" w:rsidRDefault="0010078B" w:rsidP="00B76D85">
      <w:pPr>
        <w:jc w:val="center"/>
        <w:rPr>
          <w:b/>
          <w:sz w:val="28"/>
          <w:szCs w:val="28"/>
        </w:rPr>
      </w:pPr>
      <w:bookmarkStart w:id="0" w:name="_GoBack"/>
      <w:bookmarkEnd w:id="0"/>
      <w:r w:rsidRPr="0010078B">
        <w:rPr>
          <w:b/>
          <w:sz w:val="28"/>
          <w:szCs w:val="28"/>
        </w:rPr>
        <w:t>Mini</w:t>
      </w:r>
      <w:r>
        <w:rPr>
          <w:b/>
          <w:sz w:val="28"/>
          <w:szCs w:val="28"/>
        </w:rPr>
        <w:t>stru kabineta noteikumu projekta</w:t>
      </w:r>
      <w:r w:rsidRPr="0010078B">
        <w:rPr>
          <w:b/>
          <w:sz w:val="28"/>
          <w:szCs w:val="28"/>
        </w:rPr>
        <w:t xml:space="preserve"> „</w:t>
      </w:r>
      <w:r w:rsidR="00BF3C53" w:rsidRPr="00BF3C53">
        <w:rPr>
          <w:b/>
          <w:sz w:val="28"/>
          <w:szCs w:val="28"/>
        </w:rPr>
        <w:t>Oficiālās statistikas veidlapu sociālo pakalpojumu un sociālās palīdzības jomā paraugu apstiprināšanas un veidlapu aizpildīšanas un iesniegšanas noteikumi</w:t>
      </w:r>
      <w:r w:rsidRPr="0010078B">
        <w:rPr>
          <w:b/>
          <w:sz w:val="28"/>
          <w:szCs w:val="28"/>
        </w:rPr>
        <w:t>”</w:t>
      </w:r>
    </w:p>
    <w:p w14:paraId="6F6BA34A" w14:textId="77777777" w:rsidR="00B445F0" w:rsidRPr="0010078B" w:rsidRDefault="00B76D85" w:rsidP="00B76D85">
      <w:pPr>
        <w:jc w:val="center"/>
        <w:rPr>
          <w:b/>
          <w:sz w:val="28"/>
          <w:szCs w:val="28"/>
        </w:rPr>
      </w:pPr>
      <w:r w:rsidRPr="0010078B">
        <w:rPr>
          <w:b/>
          <w:sz w:val="28"/>
          <w:szCs w:val="28"/>
        </w:rPr>
        <w:t xml:space="preserve">sākotnējās ietekmes novērtējuma </w:t>
      </w:r>
      <w:smartTag w:uri="schemas-tilde-lv/tildestengine" w:element="veidnes">
        <w:smartTagPr>
          <w:attr w:name="baseform" w:val="ziņojum|s"/>
          <w:attr w:name="id" w:val="-1"/>
          <w:attr w:name="text" w:val="ziņojums"/>
        </w:smartTagPr>
        <w:r w:rsidRPr="0010078B">
          <w:rPr>
            <w:b/>
            <w:sz w:val="28"/>
            <w:szCs w:val="28"/>
          </w:rPr>
          <w:t>ziņojums</w:t>
        </w:r>
      </w:smartTag>
      <w:r w:rsidRPr="0010078B">
        <w:rPr>
          <w:b/>
          <w:sz w:val="28"/>
          <w:szCs w:val="28"/>
        </w:rPr>
        <w:t xml:space="preserve"> (anotācija)</w:t>
      </w:r>
    </w:p>
    <w:p w14:paraId="0F643F1A" w14:textId="77777777" w:rsidR="00B76D85" w:rsidRPr="0010078B"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0078B" w:rsidRPr="0010078B" w14:paraId="02A63FE4" w14:textId="77777777" w:rsidTr="006A7D0B">
        <w:tc>
          <w:tcPr>
            <w:tcW w:w="5000" w:type="pct"/>
            <w:gridSpan w:val="3"/>
            <w:shd w:val="clear" w:color="auto" w:fill="auto"/>
          </w:tcPr>
          <w:p w14:paraId="13D58D9B" w14:textId="77777777" w:rsidR="00194614" w:rsidRPr="0010078B" w:rsidRDefault="00C01716" w:rsidP="006A7D0B">
            <w:pPr>
              <w:jc w:val="center"/>
              <w:rPr>
                <w:b/>
              </w:rPr>
            </w:pPr>
            <w:r w:rsidRPr="0010078B">
              <w:rPr>
                <w:b/>
              </w:rPr>
              <w:t>I</w:t>
            </w:r>
            <w:r w:rsidR="00DC37D9" w:rsidRPr="0010078B">
              <w:rPr>
                <w:b/>
              </w:rPr>
              <w:t>.</w:t>
            </w:r>
            <w:r w:rsidRPr="0010078B">
              <w:rPr>
                <w:b/>
              </w:rPr>
              <w:t xml:space="preserve"> Tiesību </w:t>
            </w:r>
            <w:smartTag w:uri="schemas-tilde-lv/tildestengine" w:element="veidnes">
              <w:smartTagPr>
                <w:attr w:name="baseform" w:val="akt|s"/>
                <w:attr w:name="id" w:val="-1"/>
                <w:attr w:name="text" w:val="akta"/>
              </w:smartTagPr>
              <w:r w:rsidRPr="0010078B">
                <w:rPr>
                  <w:b/>
                </w:rPr>
                <w:t>akta</w:t>
              </w:r>
            </w:smartTag>
            <w:r w:rsidRPr="0010078B">
              <w:rPr>
                <w:b/>
              </w:rPr>
              <w:t xml:space="preserve"> projekta izstrādes nepieciešamība</w:t>
            </w:r>
          </w:p>
        </w:tc>
      </w:tr>
      <w:tr w:rsidR="0010078B" w:rsidRPr="0010078B" w14:paraId="692124B4" w14:textId="77777777" w:rsidTr="006A7D0B">
        <w:tc>
          <w:tcPr>
            <w:tcW w:w="213" w:type="pct"/>
            <w:shd w:val="clear" w:color="auto" w:fill="auto"/>
          </w:tcPr>
          <w:p w14:paraId="3EEDB35E" w14:textId="77777777" w:rsidR="00B76D85" w:rsidRPr="0010078B" w:rsidRDefault="00B76D85" w:rsidP="00B76D85">
            <w:pPr>
              <w:rPr>
                <w:sz w:val="22"/>
                <w:szCs w:val="22"/>
              </w:rPr>
            </w:pPr>
            <w:r w:rsidRPr="0010078B">
              <w:rPr>
                <w:sz w:val="22"/>
                <w:szCs w:val="22"/>
              </w:rPr>
              <w:t>1.</w:t>
            </w:r>
          </w:p>
        </w:tc>
        <w:tc>
          <w:tcPr>
            <w:tcW w:w="1654" w:type="pct"/>
            <w:shd w:val="clear" w:color="auto" w:fill="auto"/>
          </w:tcPr>
          <w:p w14:paraId="4006F711" w14:textId="77777777" w:rsidR="00B76D85" w:rsidRPr="0010078B" w:rsidRDefault="00B76D85" w:rsidP="00B76D85">
            <w:pPr>
              <w:rPr>
                <w:sz w:val="22"/>
                <w:szCs w:val="22"/>
              </w:rPr>
            </w:pPr>
            <w:r w:rsidRPr="0010078B">
              <w:rPr>
                <w:sz w:val="22"/>
                <w:szCs w:val="22"/>
              </w:rPr>
              <w:t>Pamatojums</w:t>
            </w:r>
          </w:p>
        </w:tc>
        <w:tc>
          <w:tcPr>
            <w:tcW w:w="3133" w:type="pct"/>
            <w:shd w:val="clear" w:color="auto" w:fill="auto"/>
          </w:tcPr>
          <w:p w14:paraId="66411074" w14:textId="273805DC" w:rsidR="00B76D85" w:rsidRPr="0010078B" w:rsidRDefault="00216BBE" w:rsidP="009A6C3A">
            <w:pPr>
              <w:jc w:val="both"/>
              <w:rPr>
                <w:i/>
              </w:rPr>
            </w:pPr>
            <w:r w:rsidRPr="0010078B">
              <w:t>Ministru kabineta noteikumu projekts „</w:t>
            </w:r>
            <w:r w:rsidR="00BF3C53" w:rsidRPr="00BF3C53">
              <w:t>Oficiālās statistikas veidlapu sociālo pakalpojumu un sociālās palīdzības jomā paraugu apstiprināšanas un veidlapu aizpildīšanas un iesniegšanas noteikumi</w:t>
            </w:r>
            <w:r w:rsidRPr="0010078B">
              <w:t xml:space="preserve">” (turpmāk – noteikumu projekts) ir izstrādāts saskaņā ar </w:t>
            </w:r>
            <w:r w:rsidR="00074BEA" w:rsidRPr="0010078B">
              <w:t>Statistikas likuma 11.pantu</w:t>
            </w:r>
            <w:r w:rsidR="00A330F8">
              <w:t xml:space="preserve">, </w:t>
            </w:r>
            <w:r w:rsidR="0071655B">
              <w:t>k</w:t>
            </w:r>
            <w:r w:rsidR="007C486B">
              <w:t>urā noteikts, ka</w:t>
            </w:r>
            <w:r w:rsidR="0071655B">
              <w:t xml:space="preserve"> </w:t>
            </w:r>
            <w:r w:rsidR="0071655B" w:rsidRPr="0071655B">
              <w:t>Ministru kabinets apstiprina statistikas iestāžu izstrādāto oficiālo statistikas veidlapu paraugus un nosaka veidlapu iesniegšanas un aizpildīšanas kārtību</w:t>
            </w:r>
            <w:r w:rsidR="0071655B">
              <w:t>, kā arī</w:t>
            </w:r>
            <w:r w:rsidR="00074BEA" w:rsidRPr="0010078B">
              <w:t xml:space="preserve"> </w:t>
            </w:r>
            <w:r w:rsidR="0071655B">
              <w:t xml:space="preserve">šā </w:t>
            </w:r>
            <w:r w:rsidR="00074BEA" w:rsidRPr="0010078B">
              <w:t>likuma pārejas noteikuma 2.punktu</w:t>
            </w:r>
            <w:r w:rsidR="0071655B">
              <w:t>, kurā noteikts, ka noteikumi jāizdod līdz 2017.gada 31.maijam</w:t>
            </w:r>
            <w:r w:rsidR="00FB1C75">
              <w:t xml:space="preserve">, kā arī ņemot vērā </w:t>
            </w:r>
            <w:r w:rsidR="00FB1C75" w:rsidRPr="00A330F8">
              <w:t>Ministru kabineta noteikumi Nr. 813</w:t>
            </w:r>
            <w:r w:rsidR="00FB1C75">
              <w:t xml:space="preserve"> ”</w:t>
            </w:r>
            <w:r w:rsidR="00FB1C75" w:rsidRPr="00A330F8">
              <w:t>Noteikumi par Oficiālās stati</w:t>
            </w:r>
            <w:r w:rsidR="00FB1C75">
              <w:t>stikas programmu 2017. – 2019. g</w:t>
            </w:r>
            <w:r w:rsidR="00FB1C75" w:rsidRPr="00A330F8">
              <w:t>adam</w:t>
            </w:r>
            <w:r w:rsidR="00FB1C75">
              <w:t xml:space="preserve">” (turpmāk – oficiālā statistikas programma) norādītos oficiālās statistikas datus </w:t>
            </w:r>
            <w:r w:rsidR="00FB1C75" w:rsidRPr="00FB1C75">
              <w:t>sociālo pakalpojumu un sociālās palīdzības jomā</w:t>
            </w:r>
            <w:r w:rsidR="00FB1C75">
              <w:t>.</w:t>
            </w:r>
          </w:p>
        </w:tc>
      </w:tr>
      <w:tr w:rsidR="0010078B" w:rsidRPr="0010078B" w14:paraId="7C1C9AE5" w14:textId="77777777" w:rsidTr="006A7D0B">
        <w:tc>
          <w:tcPr>
            <w:tcW w:w="213" w:type="pct"/>
            <w:shd w:val="clear" w:color="auto" w:fill="auto"/>
          </w:tcPr>
          <w:p w14:paraId="378A032E" w14:textId="77777777" w:rsidR="00B76D85" w:rsidRPr="0010078B" w:rsidRDefault="00B76D85" w:rsidP="00B76D85">
            <w:pPr>
              <w:rPr>
                <w:sz w:val="22"/>
                <w:szCs w:val="22"/>
              </w:rPr>
            </w:pPr>
            <w:r w:rsidRPr="0010078B">
              <w:rPr>
                <w:sz w:val="22"/>
                <w:szCs w:val="22"/>
              </w:rPr>
              <w:t xml:space="preserve">2. </w:t>
            </w:r>
          </w:p>
        </w:tc>
        <w:tc>
          <w:tcPr>
            <w:tcW w:w="1654" w:type="pct"/>
            <w:shd w:val="clear" w:color="auto" w:fill="auto"/>
          </w:tcPr>
          <w:p w14:paraId="44A8C3DE" w14:textId="77777777" w:rsidR="00B76D85" w:rsidRPr="0010078B" w:rsidRDefault="004373E9" w:rsidP="00B76D85">
            <w:pPr>
              <w:rPr>
                <w:sz w:val="22"/>
                <w:szCs w:val="22"/>
              </w:rPr>
            </w:pPr>
            <w:r w:rsidRPr="0010078B">
              <w:t>Pašreizējā situācija un problēmas, kuru risināšanai tiesību akta projekts izstrādāts, tiesiskā regulējuma mērķis un būtība</w:t>
            </w:r>
          </w:p>
        </w:tc>
        <w:tc>
          <w:tcPr>
            <w:tcW w:w="3133" w:type="pct"/>
            <w:shd w:val="clear" w:color="auto" w:fill="auto"/>
          </w:tcPr>
          <w:p w14:paraId="196EF26B" w14:textId="77777777" w:rsidR="00252213" w:rsidRPr="0010078B" w:rsidRDefault="00074BEA" w:rsidP="006D77EA">
            <w:pPr>
              <w:jc w:val="both"/>
            </w:pPr>
            <w:r w:rsidRPr="0010078B">
              <w:t>Pašlaik spēkā esošie Ministru kabineta 2010.gada 6.aprīļa noteikumi Nr.338 "Noteikumi par valsts statistikas pārskatiem sociālo pakalpojumu un sociālās palīdzības jomā"</w:t>
            </w:r>
            <w:r w:rsidR="00772DC0" w:rsidRPr="0010078B">
              <w:t xml:space="preserve"> (turpmāk </w:t>
            </w:r>
            <w:r w:rsidR="00517E98">
              <w:t xml:space="preserve">- </w:t>
            </w:r>
            <w:r w:rsidR="00772DC0" w:rsidRPr="0010078B">
              <w:t xml:space="preserve"> noteikumi Nr. 338)</w:t>
            </w:r>
            <w:r w:rsidR="0071655B">
              <w:t>, ar kuriem ir apstiprināti statistikas pārskatu veidlapu paraugi sociālo pakalpojumu un sociālās palīdzības jomā,</w:t>
            </w:r>
            <w:r w:rsidR="00C857BE">
              <w:t xml:space="preserve"> kurus respondenti iesniedz statistikas iestādē Labklājības ministrijā,</w:t>
            </w:r>
            <w:r w:rsidRPr="0010078B">
              <w:t xml:space="preserve"> ir izdoti </w:t>
            </w:r>
            <w:r w:rsidR="00C857BE">
              <w:t>saskaņā ar</w:t>
            </w:r>
            <w:r w:rsidRPr="0010078B">
              <w:t xml:space="preserve"> Valsts statistikas likuma </w:t>
            </w:r>
            <w:r w:rsidR="00DE7855" w:rsidRPr="0010078B">
              <w:t>4.panta otro daļu</w:t>
            </w:r>
            <w:r w:rsidR="0012702B" w:rsidRPr="0010078B">
              <w:t xml:space="preserve">. </w:t>
            </w:r>
            <w:r w:rsidR="004C37C4">
              <w:t xml:space="preserve">Atbilstoši </w:t>
            </w:r>
            <w:r w:rsidR="0012702B" w:rsidRPr="0010078B">
              <w:t xml:space="preserve"> jaun</w:t>
            </w:r>
            <w:r w:rsidR="006D77EA" w:rsidRPr="0010078B">
              <w:t>ā</w:t>
            </w:r>
            <w:r w:rsidR="0012702B" w:rsidRPr="0010078B">
              <w:t xml:space="preserve"> Statistikas likuma </w:t>
            </w:r>
            <w:r w:rsidR="004C37C4">
              <w:t xml:space="preserve">pārejas noteikumu 2.punktam </w:t>
            </w:r>
            <w:r w:rsidR="004F1399" w:rsidRPr="0010078B">
              <w:t xml:space="preserve"> </w:t>
            </w:r>
            <w:r w:rsidR="004C37C4" w:rsidRPr="004C37C4">
              <w:t xml:space="preserve">Ministru kabinets līdz 2017.gada 31.maijam izdod šā likuma 11. un 21.pantā paredzētos Ministru kabineta noteikumus. Līdz attiecīgo Ministru kabineta noteikumu spēkā stāšanās dienai, bet ne ilgāk kā līdz 2017.gada 31.maijam ir piemērojami </w:t>
            </w:r>
            <w:r w:rsidR="004C37C4">
              <w:t xml:space="preserve">arī punkta 15.apakšpunktā minētie </w:t>
            </w:r>
            <w:r w:rsidR="004F1399" w:rsidRPr="0010078B">
              <w:t>noteikumi Nr.</w:t>
            </w:r>
            <w:r w:rsidR="00772DC0" w:rsidRPr="0010078B">
              <w:t xml:space="preserve"> </w:t>
            </w:r>
            <w:r w:rsidR="004F1399" w:rsidRPr="0010078B">
              <w:t>338</w:t>
            </w:r>
            <w:r w:rsidR="004C37C4">
              <w:t>, c</w:t>
            </w:r>
            <w:r w:rsidR="004C37C4" w:rsidRPr="004C37C4">
              <w:t>iktāl tie nav pretrunā ar šo likum</w:t>
            </w:r>
            <w:r w:rsidR="004C37C4">
              <w:t>u</w:t>
            </w:r>
            <w:r w:rsidR="0012702B" w:rsidRPr="0010078B">
              <w:t>.</w:t>
            </w:r>
            <w:r w:rsidR="006D77EA" w:rsidRPr="0010078B">
              <w:t xml:space="preserve"> Tādēļ </w:t>
            </w:r>
            <w:r w:rsidR="004C37C4">
              <w:t xml:space="preserve">saskaņā ar </w:t>
            </w:r>
            <w:r w:rsidR="004C37C4" w:rsidRPr="0010078B">
              <w:t>Statistikas likuma 11.pant</w:t>
            </w:r>
            <w:r w:rsidR="004C37C4">
              <w:t>u</w:t>
            </w:r>
            <w:r w:rsidR="004C37C4" w:rsidRPr="0010078B">
              <w:t xml:space="preserve"> </w:t>
            </w:r>
            <w:r w:rsidR="00C857BE">
              <w:t>ir</w:t>
            </w:r>
            <w:r w:rsidR="006D77EA" w:rsidRPr="0010078B">
              <w:t xml:space="preserve"> izstrādāts </w:t>
            </w:r>
            <w:r w:rsidR="008B33F0" w:rsidRPr="0010078B">
              <w:t xml:space="preserve">jauns </w:t>
            </w:r>
            <w:r w:rsidR="006D77EA" w:rsidRPr="0010078B">
              <w:t>noteikumu projekts.</w:t>
            </w:r>
          </w:p>
          <w:p w14:paraId="5056B362" w14:textId="77777777" w:rsidR="004C37C4" w:rsidRDefault="004C37C4" w:rsidP="006D77EA">
            <w:pPr>
              <w:jc w:val="both"/>
            </w:pPr>
            <w:r>
              <w:t>N</w:t>
            </w:r>
            <w:r w:rsidR="0002170D" w:rsidRPr="0010078B">
              <w:t xml:space="preserve">oteikumu projektā </w:t>
            </w:r>
            <w:r w:rsidR="0071655B">
              <w:t xml:space="preserve">iepriekš </w:t>
            </w:r>
            <w:r w:rsidR="0071655B" w:rsidRPr="0071655B">
              <w:t>apstiprināt</w:t>
            </w:r>
            <w:r w:rsidR="0071655B">
              <w:t>o</w:t>
            </w:r>
            <w:r w:rsidR="0071655B" w:rsidRPr="0071655B">
              <w:t xml:space="preserve"> statistikas pārskatu veidlapu paraugi sociālo pakalpojumu un sociālās palīdzības jomā</w:t>
            </w:r>
            <w:r w:rsidR="00C857BE">
              <w:t>, kā arī to iesniegšanas termiņi un nosacījumi</w:t>
            </w:r>
            <w:r w:rsidR="0071655B" w:rsidRPr="0071655B">
              <w:t xml:space="preserve"> </w:t>
            </w:r>
            <w:r w:rsidR="0071655B">
              <w:t>netiek mainīti. Attiecīgi ar noteikumu projektu tiek apstiprināti šādi oficiālo statistikas veidlapu paraugi:</w:t>
            </w:r>
            <w:r w:rsidRPr="0010078B">
              <w:t xml:space="preserve"> </w:t>
            </w:r>
          </w:p>
          <w:p w14:paraId="292C9F81" w14:textId="77777777" w:rsidR="006D77EA" w:rsidRPr="0010078B" w:rsidRDefault="006D77EA" w:rsidP="006D77EA">
            <w:pPr>
              <w:jc w:val="both"/>
            </w:pPr>
          </w:p>
          <w:p w14:paraId="6DD379F4" w14:textId="77777777" w:rsidR="007B4F39" w:rsidRDefault="006D77EA" w:rsidP="007B4F39">
            <w:pPr>
              <w:jc w:val="both"/>
            </w:pPr>
            <w:r w:rsidRPr="0010078B">
              <w:t>1)</w:t>
            </w:r>
            <w:r w:rsidR="00613BA0" w:rsidRPr="0010078B">
              <w:t xml:space="preserve"> </w:t>
            </w:r>
            <w:r w:rsidR="007B4F39">
              <w:t xml:space="preserve">Veidlapas "Pārskats par sociālās palīdzības sniegšanu </w:t>
            </w:r>
          </w:p>
          <w:p w14:paraId="64FA7AFA" w14:textId="77777777" w:rsidR="007B4F39" w:rsidRDefault="007B4F39" w:rsidP="007B4F39">
            <w:pPr>
              <w:jc w:val="both"/>
            </w:pPr>
            <w:r>
              <w:t xml:space="preserve">pašvaldībā </w:t>
            </w:r>
          </w:p>
          <w:p w14:paraId="2FEFD6BB" w14:textId="4FA7979C" w:rsidR="006D77EA" w:rsidRPr="0010078B" w:rsidRDefault="007B4F39" w:rsidP="007B4F39">
            <w:pPr>
              <w:jc w:val="both"/>
            </w:pPr>
            <w:r>
              <w:t>____.gada _____________ " paraugs</w:t>
            </w:r>
            <w:r w:rsidR="00613BA0" w:rsidRPr="0010078B">
              <w:t xml:space="preserve">. Šajā </w:t>
            </w:r>
            <w:r>
              <w:t>veidlapā</w:t>
            </w:r>
            <w:r w:rsidRPr="0010078B">
              <w:t xml:space="preserve"> </w:t>
            </w:r>
            <w:r w:rsidR="00613BA0" w:rsidRPr="0010078B">
              <w:t xml:space="preserve">tiek apkopota </w:t>
            </w:r>
            <w:r w:rsidR="00552D2A">
              <w:t>pašvaldību</w:t>
            </w:r>
            <w:r w:rsidR="00552D2A" w:rsidRPr="0010078B">
              <w:t xml:space="preserve"> </w:t>
            </w:r>
            <w:r w:rsidR="00613BA0" w:rsidRPr="0010078B">
              <w:t>operatīvā informācija par</w:t>
            </w:r>
            <w:r w:rsidR="00EE0164">
              <w:t xml:space="preserve"> sociālo palīdzību (</w:t>
            </w:r>
            <w:r w:rsidR="00606CC8" w:rsidRPr="0010078B">
              <w:t xml:space="preserve">izmaksātajiem </w:t>
            </w:r>
            <w:r w:rsidR="00613BA0" w:rsidRPr="0010078B">
              <w:t>sociāl</w:t>
            </w:r>
            <w:r w:rsidR="00552D2A">
              <w:t>ās palīdzības</w:t>
            </w:r>
            <w:r w:rsidR="00613BA0" w:rsidRPr="0010078B">
              <w:t xml:space="preserve"> pabalstiem </w:t>
            </w:r>
            <w:r w:rsidR="00613BA0" w:rsidRPr="0010078B">
              <w:lastRenderedPageBreak/>
              <w:t xml:space="preserve">un </w:t>
            </w:r>
            <w:r w:rsidR="00552D2A">
              <w:t>to saņēmējiem</w:t>
            </w:r>
            <w:r w:rsidR="004755E4">
              <w:t>,</w:t>
            </w:r>
            <w:r w:rsidR="00EE0164">
              <w:t xml:space="preserve"> </w:t>
            </w:r>
            <w:r w:rsidR="00613BA0" w:rsidRPr="0010078B">
              <w:t>trūcīg</w:t>
            </w:r>
            <w:r w:rsidR="00EE0164">
              <w:t>ām</w:t>
            </w:r>
            <w:r w:rsidR="00552D2A">
              <w:t xml:space="preserve"> un maznodrošināt</w:t>
            </w:r>
            <w:r w:rsidR="00EE0164">
              <w:t>ām</w:t>
            </w:r>
            <w:r w:rsidR="00613BA0" w:rsidRPr="0010078B">
              <w:t xml:space="preserve"> person</w:t>
            </w:r>
            <w:r w:rsidR="00EE0164">
              <w:t>ām</w:t>
            </w:r>
            <w:r w:rsidR="00552D2A">
              <w:t>) iepriekšējā kalendāra mēnesī</w:t>
            </w:r>
            <w:r w:rsidR="00613BA0" w:rsidRPr="0010078B">
              <w:t>.</w:t>
            </w:r>
            <w:r w:rsidR="00C857BE">
              <w:t xml:space="preserve"> Pārskatu iesniedz </w:t>
            </w:r>
            <w:r w:rsidR="00C857BE" w:rsidRPr="00C857BE">
              <w:t>līdz pārskata mēnesim sekojošā mēneša piecpadsmitajam datumam</w:t>
            </w:r>
            <w:r w:rsidR="001F0AAB">
              <w:t xml:space="preserve">, tiek izmantoti pašvaldību sociālā dienesta dati, kuri tiek iesniegti </w:t>
            </w:r>
            <w:r w:rsidR="0088469E" w:rsidRPr="008208C8">
              <w:t>Valsts sociālās politikas monitoringa informācijas sistēmā</w:t>
            </w:r>
            <w:r w:rsidR="0088469E">
              <w:t xml:space="preserve"> (turpmāk - </w:t>
            </w:r>
            <w:r w:rsidR="001F0AAB">
              <w:t>informācijas sistēm</w:t>
            </w:r>
            <w:r w:rsidR="0088469E">
              <w:t>a</w:t>
            </w:r>
            <w:r w:rsidR="001F0AAB">
              <w:t xml:space="preserve"> SPOLIS</w:t>
            </w:r>
            <w:r w:rsidR="0088469E">
              <w:t>)</w:t>
            </w:r>
            <w:r w:rsidR="001C3E8D">
              <w:t>. I</w:t>
            </w:r>
            <w:r w:rsidR="008A40DF">
              <w:t xml:space="preserve">nformācija tiek uzkrāta atbilstoši </w:t>
            </w:r>
            <w:r w:rsidR="003065BB">
              <w:t>o</w:t>
            </w:r>
            <w:r w:rsidR="008A40DF">
              <w:t>ficiālās statistikas programmas</w:t>
            </w:r>
            <w:r w:rsidR="00AE2B0C">
              <w:t xml:space="preserve"> 2017. - 2019. gadam </w:t>
            </w:r>
            <w:r w:rsidR="008A40DF">
              <w:t xml:space="preserve">1.tabulas </w:t>
            </w:r>
            <w:r w:rsidR="00AE2B0C">
              <w:t>9.17. </w:t>
            </w:r>
            <w:r w:rsidR="001C3E8D">
              <w:t>apa</w:t>
            </w:r>
            <w:r w:rsidR="00AE2B0C">
              <w:t>k</w:t>
            </w:r>
            <w:r w:rsidR="001C3E8D">
              <w:t>špunktam</w:t>
            </w:r>
            <w:r w:rsidR="00AE2B0C">
              <w:t>.</w:t>
            </w:r>
          </w:p>
          <w:p w14:paraId="7AD702F7" w14:textId="77777777" w:rsidR="007B4F39" w:rsidRDefault="00606CC8" w:rsidP="007B4F39">
            <w:pPr>
              <w:jc w:val="both"/>
            </w:pPr>
            <w:r w:rsidRPr="0010078B">
              <w:t xml:space="preserve">2) </w:t>
            </w:r>
            <w:r w:rsidR="007B4F39">
              <w:t xml:space="preserve">Veidlapas "Pārskats par sociālajiem pakalpojumiem un sociālo palīdzību </w:t>
            </w:r>
          </w:p>
          <w:p w14:paraId="2599B04C" w14:textId="77777777" w:rsidR="007B4F39" w:rsidRDefault="007B4F39" w:rsidP="007B4F39">
            <w:pPr>
              <w:jc w:val="both"/>
            </w:pPr>
            <w:r>
              <w:t xml:space="preserve">pašvaldībā </w:t>
            </w:r>
          </w:p>
          <w:p w14:paraId="1F0D869F" w14:textId="405B7290" w:rsidR="00606CC8" w:rsidRPr="0010078B" w:rsidRDefault="007B4F39" w:rsidP="007B4F39">
            <w:pPr>
              <w:jc w:val="both"/>
            </w:pPr>
            <w:r>
              <w:t>____.gadā" paraugs</w:t>
            </w:r>
            <w:r w:rsidR="00C857BE">
              <w:t>. Š</w:t>
            </w:r>
            <w:r w:rsidR="00197658" w:rsidRPr="0010078B">
              <w:t>ajā</w:t>
            </w:r>
            <w:r w:rsidR="002B1389" w:rsidRPr="0010078B">
              <w:t xml:space="preserve"> </w:t>
            </w:r>
            <w:r>
              <w:t>veidlapā</w:t>
            </w:r>
            <w:r w:rsidRPr="0010078B">
              <w:t xml:space="preserve"> </w:t>
            </w:r>
            <w:r w:rsidR="00606CC8" w:rsidRPr="0010078B">
              <w:t>tiek apkopota informācija par pašvaldīb</w:t>
            </w:r>
            <w:r w:rsidR="001A5073" w:rsidRPr="0010078B">
              <w:t>ā</w:t>
            </w:r>
            <w:r w:rsidR="00606CC8" w:rsidRPr="0010078B">
              <w:t xml:space="preserve"> sniegtajiem sociālajiem </w:t>
            </w:r>
            <w:r w:rsidR="007422EB" w:rsidRPr="0010078B">
              <w:t>pakalpojumiem</w:t>
            </w:r>
            <w:r w:rsidR="00BE57E9">
              <w:t>, to sniedzējiem,</w:t>
            </w:r>
            <w:r w:rsidR="002B1389" w:rsidRPr="0010078B">
              <w:t xml:space="preserve"> sociāl</w:t>
            </w:r>
            <w:r w:rsidR="00BE57E9">
              <w:t>ās palīdzības</w:t>
            </w:r>
            <w:r w:rsidR="002B1389" w:rsidRPr="0010078B">
              <w:t xml:space="preserve"> pabalstiem, trūcīgo </w:t>
            </w:r>
            <w:r w:rsidR="00BE57E9">
              <w:t xml:space="preserve">un maznodrošināto </w:t>
            </w:r>
            <w:r w:rsidR="002B1389" w:rsidRPr="0010078B">
              <w:t>personu skait</w:t>
            </w:r>
            <w:r w:rsidR="00BE57E9">
              <w:t>u,</w:t>
            </w:r>
            <w:r w:rsidR="002B1389" w:rsidRPr="0010078B">
              <w:t xml:space="preserve"> sociālā dienesta darbinieku skait</w:t>
            </w:r>
            <w:r w:rsidR="001A5073" w:rsidRPr="0010078B">
              <w:t>s</w:t>
            </w:r>
            <w:r w:rsidR="00BE57E9">
              <w:t>, pašvaldības budžeta izdevumiem šajā jomā</w:t>
            </w:r>
            <w:r w:rsidR="00A869A9">
              <w:t>. P</w:t>
            </w:r>
            <w:r w:rsidR="00BA0244">
              <w:t xml:space="preserve">ārskatu iesniedz </w:t>
            </w:r>
            <w:r w:rsidR="00BA0244" w:rsidRPr="0060115F">
              <w:t>līdz pārskata gadam sekojošā gada 15.februārim</w:t>
            </w:r>
            <w:r w:rsidR="00300DBA">
              <w:t>.</w:t>
            </w:r>
            <w:r w:rsidR="00914B0D">
              <w:t xml:space="preserve"> Dati par sociālo pakalpojumu un sociālo pabalstu saņēmēju skaitu un izlietotajiem līdzekļiem tiek iegūta no sociālā dienesta datiem, kuri tiek iesniegti informācijas sistēmā SPOLIS</w:t>
            </w:r>
            <w:r w:rsidR="00300DBA">
              <w:t>.</w:t>
            </w:r>
            <w:r w:rsidR="001C3E8D">
              <w:t xml:space="preserve"> Informācija tiek uzkrāta atbilstoši </w:t>
            </w:r>
            <w:r w:rsidR="003065BB">
              <w:t>o</w:t>
            </w:r>
            <w:r w:rsidR="001C3E8D">
              <w:t>ficiālās statistikas programmas 1.tabulas 9.3., 9.8., 9.11.</w:t>
            </w:r>
            <w:r w:rsidR="0073306B">
              <w:t xml:space="preserve"> </w:t>
            </w:r>
            <w:r w:rsidR="001C3E8D">
              <w:t xml:space="preserve">un 9.14.apakšpunktam, </w:t>
            </w:r>
          </w:p>
          <w:p w14:paraId="64F24E90" w14:textId="76BD131F" w:rsidR="002B1389" w:rsidRPr="0010078B" w:rsidRDefault="002B1389" w:rsidP="00606CC8">
            <w:pPr>
              <w:jc w:val="both"/>
            </w:pPr>
            <w:r w:rsidRPr="0010078B">
              <w:t xml:space="preserve">3) </w:t>
            </w:r>
            <w:r w:rsidR="007B4F39" w:rsidRPr="007B4F39">
              <w:t>Veidlapas "Pārskats par ilgstošas sociālās aprūpes un sociālās rehabilitācijas pakalpojumu sniegšanu ____.gadā" paraugs</w:t>
            </w:r>
            <w:r w:rsidR="007B4F39">
              <w:t>. Š</w:t>
            </w:r>
            <w:r w:rsidR="00197658" w:rsidRPr="0010078B">
              <w:t>ajā</w:t>
            </w:r>
            <w:r w:rsidR="00E91097" w:rsidRPr="0010078B">
              <w:t xml:space="preserve"> pielikumā tiek apkopota informācija par ilgstošo sociālo rehabilitāciju institūciju darbību</w:t>
            </w:r>
            <w:r w:rsidR="00435D81" w:rsidRPr="0010078B">
              <w:t>, klientu un darbinieku skaitu</w:t>
            </w:r>
            <w:r w:rsidR="00BA0244">
              <w:t>, klientu veselības stāvoklis, iestājušies un izstājušies klienti, iegūtie un izlietotie finanšu līdzek</w:t>
            </w:r>
            <w:r w:rsidR="001F0AAB">
              <w:t>ļ</w:t>
            </w:r>
            <w:r w:rsidR="00BA0244">
              <w:t xml:space="preserve">i. Pārskatu iesniedz </w:t>
            </w:r>
            <w:r w:rsidR="00BA0244" w:rsidRPr="0060115F">
              <w:t>līdz pārskata gadam sekojošā gada 15.februārim</w:t>
            </w:r>
            <w:r w:rsidR="00EB5B3C">
              <w:t>, informācija tiek iesniegta elektroniskā veidā uz ministrijas e-pastu.</w:t>
            </w:r>
            <w:r w:rsidR="001C3E8D">
              <w:t xml:space="preserve"> Informācija tiek uzkrāta atbilstoši </w:t>
            </w:r>
            <w:r w:rsidR="003065BB">
              <w:t>o</w:t>
            </w:r>
            <w:r w:rsidR="001C3E8D">
              <w:t>ficiālās statistikas programmas 1.tabulas 9.8. un 9.12. apakšpun</w:t>
            </w:r>
            <w:r w:rsidR="0073306B">
              <w:t>ktam.</w:t>
            </w:r>
          </w:p>
          <w:p w14:paraId="3EBCCB1F" w14:textId="1445F7EE" w:rsidR="00435D81" w:rsidRDefault="00435D81" w:rsidP="007B4F39">
            <w:pPr>
              <w:jc w:val="both"/>
            </w:pPr>
            <w:r w:rsidRPr="0010078B">
              <w:t>4)</w:t>
            </w:r>
            <w:r w:rsidR="00421A01" w:rsidRPr="0010078B">
              <w:t xml:space="preserve"> </w:t>
            </w:r>
            <w:r w:rsidR="007B4F39">
              <w:t>Veidlapas "Pārskats par sociālās rehabilitācijas pakalpojumu sniegšanu no prettiesiskām darbībām cietušām personām____. gadā" paraugs. Š</w:t>
            </w:r>
            <w:r w:rsidR="00197658" w:rsidRPr="0010078B">
              <w:t>ajā</w:t>
            </w:r>
            <w:r w:rsidR="007422EB" w:rsidRPr="0010078B">
              <w:t xml:space="preserve"> </w:t>
            </w:r>
            <w:r w:rsidR="007B4F39">
              <w:t>veidlapā</w:t>
            </w:r>
            <w:r w:rsidR="007422EB" w:rsidRPr="0010078B">
              <w:t xml:space="preserve"> tiek apkopota informācija par pilngadīgajām personām un </w:t>
            </w:r>
            <w:r w:rsidR="004129BB" w:rsidRPr="0010078B">
              <w:t>bērniem, kuri</w:t>
            </w:r>
            <w:r w:rsidR="007422EB" w:rsidRPr="0010078B">
              <w:t xml:space="preserve"> cietuši vardarbībā un ir saņēmuši </w:t>
            </w:r>
            <w:r w:rsidR="001A5073" w:rsidRPr="0010078B">
              <w:t xml:space="preserve">sociālo </w:t>
            </w:r>
            <w:r w:rsidR="007422EB" w:rsidRPr="0010078B">
              <w:t>rehabilitācij</w:t>
            </w:r>
            <w:r w:rsidR="001A5073" w:rsidRPr="0010078B">
              <w:t xml:space="preserve">u </w:t>
            </w:r>
            <w:r w:rsidR="007422EB" w:rsidRPr="0010078B">
              <w:t xml:space="preserve"> </w:t>
            </w:r>
            <w:r w:rsidR="004129BB" w:rsidRPr="0010078B">
              <w:t>apmaksātu pakalpojumu</w:t>
            </w:r>
            <w:r w:rsidR="007422EB" w:rsidRPr="0010078B">
              <w:t xml:space="preserve"> no valsts budžeta līdzekļiem vai </w:t>
            </w:r>
            <w:r w:rsidR="004129BB" w:rsidRPr="0010078B">
              <w:t>pašvaldību</w:t>
            </w:r>
            <w:r w:rsidR="007422EB" w:rsidRPr="0010078B">
              <w:t xml:space="preserve"> budžeta </w:t>
            </w:r>
            <w:r w:rsidR="004129BB" w:rsidRPr="0010078B">
              <w:t>līdzekļiem</w:t>
            </w:r>
            <w:r w:rsidR="00BA0244">
              <w:t xml:space="preserve">, personu skaits pēc vecuma, dzimuma un vardarbības veida, izlietotie līdzekļi. Pārskatu iesniedz </w:t>
            </w:r>
            <w:r w:rsidR="00BA0244" w:rsidRPr="0060115F">
              <w:t xml:space="preserve">līdz pārskata gadam sekojošā gada </w:t>
            </w:r>
            <w:r w:rsidR="0013077F" w:rsidRPr="0060115F">
              <w:t>15.februārim</w:t>
            </w:r>
            <w:r w:rsidR="0013077F">
              <w:t>, informācija tiek iesniegta elektroniskā veidā uz ministrijas e-pastu</w:t>
            </w:r>
            <w:r w:rsidR="004129BB" w:rsidRPr="0010078B">
              <w:t>.</w:t>
            </w:r>
            <w:r w:rsidR="001C3E8D">
              <w:t xml:space="preserve"> Informācija tiek uzkrāta atbilstoši </w:t>
            </w:r>
            <w:r w:rsidR="003065BB">
              <w:t>o</w:t>
            </w:r>
            <w:r w:rsidR="001C3E8D">
              <w:t>ficiālās statistikas programmas 1.tabulas 9.8.</w:t>
            </w:r>
            <w:r w:rsidR="0073306B">
              <w:t xml:space="preserve"> un </w:t>
            </w:r>
            <w:r w:rsidR="001C3E8D">
              <w:t xml:space="preserve">11.4. </w:t>
            </w:r>
            <w:r w:rsidR="0073306B">
              <w:t>apakšpunktam.</w:t>
            </w:r>
          </w:p>
          <w:p w14:paraId="6BC931CF" w14:textId="77777777" w:rsidR="00142E88" w:rsidRDefault="00142E88" w:rsidP="00E26E3C">
            <w:pPr>
              <w:jc w:val="both"/>
            </w:pPr>
          </w:p>
          <w:p w14:paraId="6F4655B0" w14:textId="38F1CEBE" w:rsidR="007B4F39" w:rsidRPr="00EC50B0" w:rsidRDefault="00E26E3C" w:rsidP="00E26E3C">
            <w:pPr>
              <w:jc w:val="both"/>
            </w:pPr>
            <w:r w:rsidRPr="00EC50B0">
              <w:t>Noteikumu projekta 4., 5.</w:t>
            </w:r>
            <w:r w:rsidR="00EC50B0" w:rsidRPr="00EC50B0">
              <w:t xml:space="preserve"> un 6.</w:t>
            </w:r>
            <w:r w:rsidRPr="00EC50B0">
              <w:t xml:space="preserve"> punkts nosaka kārtību </w:t>
            </w:r>
            <w:r w:rsidRPr="00EC50B0">
              <w:lastRenderedPageBreak/>
              <w:t xml:space="preserve">kādā veidā tiek iesniegtas oficiālās statistikas veidlapas Labklājības ministrijā. Veidlapas ir iespējams iesniegt, izmantojot Labklājības ministrijas pārziņā esošo informācijas sistēmu SPOLIS, pa e-pastu atbilstoši normatīvajiem aktiem par elektronisko dokumentu noformēšanu, personīgi vai pa pastu papīra dokumenta veidā. </w:t>
            </w:r>
          </w:p>
          <w:p w14:paraId="56ECDFBF" w14:textId="77777777" w:rsidR="00FB1C75" w:rsidRPr="00EC50B0" w:rsidRDefault="00FB1C75" w:rsidP="00FB1C75">
            <w:pPr>
              <w:pStyle w:val="naiskr"/>
              <w:spacing w:before="0" w:after="0"/>
              <w:jc w:val="both"/>
            </w:pPr>
            <w:r w:rsidRPr="00EC50B0">
              <w:t xml:space="preserve">Sistēmas SPOLIS darbību reglamentē Sociālo pakalpojumu un sociālās palīdzības likums un Ministru kabineta 2014. gada 30. septembra noteikumi Nr. 587 "Valsts sociālās politikas monitoringa informācijas sistēmas noteikumi". </w:t>
            </w:r>
          </w:p>
          <w:p w14:paraId="0C50F1A8" w14:textId="4E06340E" w:rsidR="00FB1C75" w:rsidRPr="00EC50B0" w:rsidRDefault="00FB1C75" w:rsidP="00FB1C75">
            <w:pPr>
              <w:pStyle w:val="naiskr"/>
              <w:spacing w:before="0" w:after="0"/>
              <w:jc w:val="both"/>
            </w:pPr>
            <w:r w:rsidRPr="00EC50B0">
              <w:t>Sociālo pakalpojumu un sociālās palīdzības likuma 14.pants nosaka Labklājības ministrijai uzdevumus izstrādāt politiku sociālās palīdzības un sociālo pakalpojumu jomā, organizēt un koordinēt izstrādātās politikas īstenošanu, organizēt sociālo pakalpojumu sniegšanai piešķirto valsts budžeta līdzekļu administrēšanu, kā arī pārraudzīt likuma īstenošanu un kontrolēt sociālo pakalpojumu sniegšanu regulējošo normatīvo aktu ievērošanu. Minēto uzdevumu izpildes nodrošināšanai šis pats pants nosaka Labklājības ministrijai uzdevumu veidot un uzturēt informācijas sistēmu</w:t>
            </w:r>
            <w:r w:rsidR="009A6C3A" w:rsidRPr="00EC50B0">
              <w:t xml:space="preserve"> SPOLIS</w:t>
            </w:r>
            <w:r w:rsidRPr="00EC50B0">
              <w:t xml:space="preserve">, kurā no valsts un pašvaldību institūcijām var saņemt un apstrādāt to personu datus, kuras pieprasījušas sociālo palīdzību, sociālās aprūpes, sociālās vai profesionālās rehabilitācijas pakalpojumus, tehniskos palīglīdzekļus vai pakalpojumus neatkarīgas dzīves nodrošināšanai, kā arī datus par šo personu pieprasītajiem un tām piešķirtajiem pakalpojumiem un sociālo palīdzību. Sistēmas </w:t>
            </w:r>
            <w:r w:rsidR="009A6C3A" w:rsidRPr="00EC50B0">
              <w:t xml:space="preserve">SPOLIS apstrādājamos datus detalizēti nosaka </w:t>
            </w:r>
            <w:r w:rsidR="009A6C3A" w:rsidRPr="00EC50B0">
              <w:rPr>
                <w:bCs/>
              </w:rPr>
              <w:t>Ministru kabineta 2014. gada 30. septembra noteikumi Nr. 587 "Valsts sociālās politikas monitoringa informācijas sistēmas noteikumi".</w:t>
            </w:r>
          </w:p>
          <w:p w14:paraId="2E180098" w14:textId="04A4CB83" w:rsidR="00FB1C75" w:rsidRPr="00EC50B0" w:rsidRDefault="00FB1C75" w:rsidP="00E26E3C">
            <w:pPr>
              <w:jc w:val="both"/>
            </w:pPr>
          </w:p>
          <w:p w14:paraId="41200A8D" w14:textId="77777777" w:rsidR="00FB1C75" w:rsidRPr="00EC50B0" w:rsidRDefault="00FB1C75" w:rsidP="00E26E3C">
            <w:pPr>
              <w:jc w:val="both"/>
            </w:pPr>
          </w:p>
          <w:p w14:paraId="2088D254" w14:textId="785236F2" w:rsidR="00E26E3C" w:rsidRPr="00EC50B0" w:rsidRDefault="00E26E3C" w:rsidP="00E26E3C">
            <w:pPr>
              <w:jc w:val="both"/>
            </w:pPr>
            <w:r w:rsidRPr="00EC50B0">
              <w:t>Noteikumu projekta 7.punktā tiek noteikta procedūra, ja Labklājības ministrija atrod neprecizitātes vai kļūdas oficiālās statistikas veidlapā norādītajā informācijā, kā arī laika posmus, kurā respondentam jāveic labojumi un jāiesniedz atkārtoti.</w:t>
            </w:r>
          </w:p>
          <w:p w14:paraId="3BF9AB5F" w14:textId="5B451929" w:rsidR="007E6B66" w:rsidRDefault="00E26E3C" w:rsidP="00300DBA">
            <w:pPr>
              <w:jc w:val="both"/>
            </w:pPr>
            <w:r w:rsidRPr="00EC50B0">
              <w:t xml:space="preserve">Noteikumu projekta </w:t>
            </w:r>
            <w:r w:rsidR="00E91674" w:rsidRPr="00EC50B0">
              <w:t>8</w:t>
            </w:r>
            <w:r w:rsidRPr="00EC50B0">
              <w:t xml:space="preserve">.punktā minētais regulējums, ka noteikumu projekta 2.1.apakšpunktā minētās veidlapas 1.punkta sadaļu „Personas, kurām </w:t>
            </w:r>
            <w:r>
              <w:t xml:space="preserve">pārskata mēnesī spēkā maznodrošinātās personas statuss” un 2.punkta rindu „Personas, kurām no kārtējā gada sākuma vismaz vienu dienu ir bijis spēkā maznodrošinātās personas statuss” respondenti iesniedz Labklājības ministrijā no 2018.gada 1.janvāra, informācija par maznodrošinātām personām (statistiskā informācija) ir nepieciešams, lai atbilstoši Sociālo pakalpojumu un sociālās palīdzības likumam dati </w:t>
            </w:r>
            <w:r>
              <w:lastRenderedPageBreak/>
              <w:t>par pašvaldību sniegto sociālo palīdzību, tai skaitā maznodrošinātām personām būtu vispusīgi un pamatoti. Turklāt informācijas sistēmā SPOLIS šāda veida veidlapas izstrādāšanai ir nepieciešams laiks, tādēļ statistisko datu vākšana var sākties tikai ar 2018.gadu.</w:t>
            </w:r>
            <w:r w:rsidR="007E6B66">
              <w:t xml:space="preserve"> </w:t>
            </w:r>
          </w:p>
          <w:p w14:paraId="2BC4D322" w14:textId="77777777" w:rsidR="004755E4" w:rsidRDefault="004755E4" w:rsidP="00300DBA">
            <w:pPr>
              <w:jc w:val="both"/>
            </w:pPr>
          </w:p>
          <w:p w14:paraId="74302098" w14:textId="77777777" w:rsidR="00005EA9" w:rsidRPr="00E1757D" w:rsidRDefault="00005EA9" w:rsidP="00005EA9">
            <w:pPr>
              <w:jc w:val="both"/>
              <w:rPr>
                <w:iCs/>
              </w:rPr>
            </w:pPr>
            <w:r w:rsidRPr="00E1757D">
              <w:rPr>
                <w:iCs/>
              </w:rPr>
              <w:t>Lai nodrošinātu statistisko konfidencialitāti un trešajai personai nebūtu iespējas no veidlapu kopsavilkuma identificēt fizisku personu, Labklājības ministrija gada kopsavilkumu par vardarbībā cietušajām personām savā tīmekļa saitē publicēs šādā apjomā:</w:t>
            </w:r>
          </w:p>
          <w:p w14:paraId="755F5330" w14:textId="77777777" w:rsidR="00005EA9" w:rsidRPr="00E1757D" w:rsidRDefault="00005EA9" w:rsidP="00005EA9">
            <w:pPr>
              <w:jc w:val="both"/>
              <w:rPr>
                <w:iCs/>
              </w:rPr>
            </w:pPr>
            <w:r w:rsidRPr="00E1757D">
              <w:rPr>
                <w:iCs/>
              </w:rPr>
              <w:t>1.</w:t>
            </w:r>
            <w:r w:rsidRPr="00E1757D">
              <w:rPr>
                <w:iCs/>
              </w:rPr>
              <w:tab/>
              <w:t>republikas pilsētas – kopā;</w:t>
            </w:r>
          </w:p>
          <w:p w14:paraId="65074EE6" w14:textId="77777777" w:rsidR="00005EA9" w:rsidRPr="00E1757D" w:rsidRDefault="00005EA9" w:rsidP="00005EA9">
            <w:pPr>
              <w:jc w:val="both"/>
              <w:rPr>
                <w:iCs/>
              </w:rPr>
            </w:pPr>
            <w:r w:rsidRPr="00E1757D">
              <w:rPr>
                <w:iCs/>
              </w:rPr>
              <w:t>2.</w:t>
            </w:r>
            <w:r w:rsidRPr="00E1757D">
              <w:rPr>
                <w:iCs/>
              </w:rPr>
              <w:tab/>
              <w:t>novadi – kopā;</w:t>
            </w:r>
          </w:p>
          <w:p w14:paraId="646AAE23" w14:textId="77777777" w:rsidR="00005EA9" w:rsidRPr="00E1757D" w:rsidRDefault="00005EA9" w:rsidP="00005EA9">
            <w:pPr>
              <w:jc w:val="both"/>
              <w:rPr>
                <w:iCs/>
              </w:rPr>
            </w:pPr>
            <w:r w:rsidRPr="00E1757D">
              <w:rPr>
                <w:iCs/>
              </w:rPr>
              <w:t>3.</w:t>
            </w:r>
            <w:r w:rsidRPr="00E1757D">
              <w:rPr>
                <w:iCs/>
              </w:rPr>
              <w:tab/>
              <w:t>valstī kopā.</w:t>
            </w:r>
          </w:p>
          <w:p w14:paraId="6BA753B9" w14:textId="77777777" w:rsidR="007E6B66" w:rsidRDefault="00005EA9" w:rsidP="00005EA9">
            <w:pPr>
              <w:jc w:val="both"/>
            </w:pPr>
            <w:r w:rsidRPr="00E1757D">
              <w:rPr>
                <w:iCs/>
              </w:rPr>
              <w:t xml:space="preserve"> Informācija par atsevišķiem novadiem un republikas pilsētām Labklājības ministrija sniegs tikai kā ierobežotas pieejamības informāciju uz rakstiska pieprasījuma pamata, kurā tiks norādīts datu izmantošanas mērķis.</w:t>
            </w:r>
          </w:p>
          <w:p w14:paraId="0D43C656" w14:textId="14E5CB78" w:rsidR="00F123B1" w:rsidRPr="0010078B" w:rsidRDefault="00F123B1" w:rsidP="00365106">
            <w:pPr>
              <w:jc w:val="both"/>
            </w:pPr>
            <w:r>
              <w:t xml:space="preserve">Noteikumu projektā noteikts, ka noteikumi stājas spēkā 2017.gada 1.jūnijā, un vienlaikus spēku zaudē noteikumi </w:t>
            </w:r>
            <w:r w:rsidR="007C486B">
              <w:t>N</w:t>
            </w:r>
            <w:r>
              <w:t>r.338</w:t>
            </w:r>
            <w:r w:rsidR="00005EA9">
              <w:t>, jo</w:t>
            </w:r>
            <w:r w:rsidR="00301244">
              <w:t xml:space="preserve"> noteikumi Nr.338 </w:t>
            </w:r>
            <w:r w:rsidR="00365106">
              <w:t>atbilstoši</w:t>
            </w:r>
            <w:r w:rsidR="00EE0164">
              <w:t xml:space="preserve"> </w:t>
            </w:r>
            <w:r w:rsidR="00FA0EBB">
              <w:t>S</w:t>
            </w:r>
            <w:r w:rsidR="00EE0164">
              <w:t>tatistikas likuma p</w:t>
            </w:r>
            <w:r w:rsidR="00FA0EBB">
              <w:t>ārejas noteikum</w:t>
            </w:r>
            <w:r w:rsidR="00365106">
              <w:t>u ir spēkā līdz 2017.gada 31.maijam.</w:t>
            </w:r>
          </w:p>
        </w:tc>
      </w:tr>
      <w:tr w:rsidR="0010078B" w:rsidRPr="0010078B" w14:paraId="268B69DE" w14:textId="77777777" w:rsidTr="006A7D0B">
        <w:tc>
          <w:tcPr>
            <w:tcW w:w="213" w:type="pct"/>
            <w:shd w:val="clear" w:color="auto" w:fill="auto"/>
          </w:tcPr>
          <w:p w14:paraId="706F323C" w14:textId="05419247" w:rsidR="00B76D85" w:rsidRPr="0010078B" w:rsidRDefault="004373E9" w:rsidP="00B76D85">
            <w:pPr>
              <w:rPr>
                <w:sz w:val="22"/>
                <w:szCs w:val="22"/>
              </w:rPr>
            </w:pPr>
            <w:r w:rsidRPr="0010078B">
              <w:rPr>
                <w:sz w:val="22"/>
                <w:szCs w:val="22"/>
              </w:rPr>
              <w:lastRenderedPageBreak/>
              <w:t>3</w:t>
            </w:r>
            <w:r w:rsidR="00B76D85" w:rsidRPr="0010078B">
              <w:rPr>
                <w:sz w:val="22"/>
                <w:szCs w:val="22"/>
              </w:rPr>
              <w:t>.</w:t>
            </w:r>
          </w:p>
        </w:tc>
        <w:tc>
          <w:tcPr>
            <w:tcW w:w="1654" w:type="pct"/>
            <w:shd w:val="clear" w:color="auto" w:fill="auto"/>
          </w:tcPr>
          <w:p w14:paraId="74E70920" w14:textId="77777777" w:rsidR="00B76D85" w:rsidRPr="0010078B" w:rsidRDefault="00B76D85" w:rsidP="00B76D85">
            <w:pPr>
              <w:rPr>
                <w:sz w:val="22"/>
                <w:szCs w:val="22"/>
              </w:rPr>
            </w:pPr>
            <w:r w:rsidRPr="0010078B">
              <w:rPr>
                <w:sz w:val="22"/>
                <w:szCs w:val="22"/>
              </w:rPr>
              <w:t>Projekta izstrādē iesaistītās institūcijas</w:t>
            </w:r>
          </w:p>
        </w:tc>
        <w:tc>
          <w:tcPr>
            <w:tcW w:w="3133" w:type="pct"/>
            <w:shd w:val="clear" w:color="auto" w:fill="auto"/>
          </w:tcPr>
          <w:p w14:paraId="5E560F07" w14:textId="5A5EA764" w:rsidR="00B76D85" w:rsidRPr="0010078B" w:rsidRDefault="00E11D8B" w:rsidP="00F123B1">
            <w:pPr>
              <w:jc w:val="both"/>
            </w:pPr>
            <w:r>
              <w:t>Nav.</w:t>
            </w:r>
          </w:p>
        </w:tc>
      </w:tr>
      <w:tr w:rsidR="00005EA9" w:rsidRPr="0010078B" w14:paraId="6887CAE2" w14:textId="77777777" w:rsidTr="006A7D0B">
        <w:tc>
          <w:tcPr>
            <w:tcW w:w="213" w:type="pct"/>
            <w:shd w:val="clear" w:color="auto" w:fill="auto"/>
          </w:tcPr>
          <w:p w14:paraId="4D6939D2" w14:textId="77777777" w:rsidR="00005EA9" w:rsidRPr="0010078B" w:rsidRDefault="00005EA9" w:rsidP="00005EA9">
            <w:pPr>
              <w:rPr>
                <w:sz w:val="22"/>
                <w:szCs w:val="22"/>
              </w:rPr>
            </w:pPr>
            <w:r w:rsidRPr="0010078B">
              <w:rPr>
                <w:sz w:val="22"/>
                <w:szCs w:val="22"/>
              </w:rPr>
              <w:t xml:space="preserve">4. </w:t>
            </w:r>
          </w:p>
        </w:tc>
        <w:tc>
          <w:tcPr>
            <w:tcW w:w="1654" w:type="pct"/>
            <w:shd w:val="clear" w:color="auto" w:fill="auto"/>
          </w:tcPr>
          <w:p w14:paraId="58DC14C4" w14:textId="77777777" w:rsidR="00005EA9" w:rsidRPr="0010078B" w:rsidRDefault="00005EA9" w:rsidP="00005EA9">
            <w:pPr>
              <w:rPr>
                <w:sz w:val="22"/>
                <w:szCs w:val="22"/>
              </w:rPr>
            </w:pPr>
            <w:r w:rsidRPr="0010078B">
              <w:rPr>
                <w:sz w:val="22"/>
                <w:szCs w:val="22"/>
              </w:rPr>
              <w:t>Cita informācija</w:t>
            </w:r>
          </w:p>
        </w:tc>
        <w:tc>
          <w:tcPr>
            <w:tcW w:w="3133" w:type="pct"/>
            <w:shd w:val="clear" w:color="auto" w:fill="auto"/>
          </w:tcPr>
          <w:p w14:paraId="0E157720" w14:textId="77777777" w:rsidR="00005EA9" w:rsidRPr="0010078B" w:rsidRDefault="00005EA9" w:rsidP="00005EA9">
            <w:pPr>
              <w:jc w:val="both"/>
            </w:pPr>
            <w:r>
              <w:rPr>
                <w:iCs/>
              </w:rPr>
              <w:t>Nav.</w:t>
            </w:r>
          </w:p>
        </w:tc>
      </w:tr>
    </w:tbl>
    <w:p w14:paraId="3C7F2C26" w14:textId="77777777" w:rsidR="00B76D85" w:rsidRPr="0010078B"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0078B" w:rsidRPr="0010078B" w14:paraId="20002695" w14:textId="77777777" w:rsidTr="006A7D0B">
        <w:tc>
          <w:tcPr>
            <w:tcW w:w="9287" w:type="dxa"/>
            <w:gridSpan w:val="3"/>
            <w:shd w:val="clear" w:color="auto" w:fill="auto"/>
          </w:tcPr>
          <w:p w14:paraId="75CD84CB" w14:textId="77777777" w:rsidR="00230730" w:rsidRPr="0010078B" w:rsidRDefault="00C01716" w:rsidP="006A7D0B">
            <w:pPr>
              <w:pStyle w:val="naisnod"/>
              <w:spacing w:before="0" w:after="0"/>
              <w:ind w:left="57" w:right="57"/>
              <w:rPr>
                <w:b w:val="0"/>
              </w:rPr>
            </w:pPr>
            <w:r w:rsidRPr="0010078B">
              <w:t>II</w:t>
            </w:r>
            <w:r w:rsidR="00DC37D9" w:rsidRPr="0010078B">
              <w:t>.</w:t>
            </w:r>
            <w:r w:rsidRPr="0010078B">
              <w:rPr>
                <w:b w:val="0"/>
              </w:rPr>
              <w:t xml:space="preserve"> </w:t>
            </w:r>
            <w:r w:rsidR="00230730" w:rsidRPr="0010078B">
              <w:t>Tiesību akta projekta ietekme uz sabiedrību, tautsaimniecības attīstību</w:t>
            </w:r>
          </w:p>
          <w:p w14:paraId="686C5B87" w14:textId="77777777" w:rsidR="00C01716" w:rsidRPr="0010078B" w:rsidRDefault="00230730" w:rsidP="006A7D0B">
            <w:pPr>
              <w:jc w:val="center"/>
              <w:rPr>
                <w:b/>
              </w:rPr>
            </w:pPr>
            <w:r w:rsidRPr="0010078B">
              <w:rPr>
                <w:b/>
              </w:rPr>
              <w:t>un administratīvo slogu</w:t>
            </w:r>
          </w:p>
        </w:tc>
      </w:tr>
      <w:tr w:rsidR="0010078B" w:rsidRPr="0010078B" w14:paraId="5ABFD17D" w14:textId="77777777" w:rsidTr="006A7D0B">
        <w:tc>
          <w:tcPr>
            <w:tcW w:w="396" w:type="dxa"/>
            <w:shd w:val="clear" w:color="auto" w:fill="auto"/>
          </w:tcPr>
          <w:p w14:paraId="40D4E21E" w14:textId="77777777" w:rsidR="00B76D85" w:rsidRPr="0010078B" w:rsidRDefault="00B76D85" w:rsidP="00242D7D">
            <w:pPr>
              <w:rPr>
                <w:sz w:val="22"/>
                <w:szCs w:val="22"/>
              </w:rPr>
            </w:pPr>
            <w:r w:rsidRPr="0010078B">
              <w:rPr>
                <w:sz w:val="22"/>
                <w:szCs w:val="22"/>
              </w:rPr>
              <w:t>1.</w:t>
            </w:r>
          </w:p>
        </w:tc>
        <w:tc>
          <w:tcPr>
            <w:tcW w:w="3072" w:type="dxa"/>
            <w:shd w:val="clear" w:color="auto" w:fill="auto"/>
          </w:tcPr>
          <w:p w14:paraId="41F37762" w14:textId="77777777" w:rsidR="00B76D85" w:rsidRPr="0010078B" w:rsidRDefault="00230730" w:rsidP="00242D7D">
            <w:pPr>
              <w:rPr>
                <w:sz w:val="22"/>
                <w:szCs w:val="22"/>
              </w:rPr>
            </w:pPr>
            <w:r w:rsidRPr="0010078B">
              <w:t>Sabiedrības mērķgrupas, kuras tiesiskais regulējums ietekmē vai varētu ietekmēt</w:t>
            </w:r>
          </w:p>
        </w:tc>
        <w:tc>
          <w:tcPr>
            <w:tcW w:w="5819" w:type="dxa"/>
            <w:shd w:val="clear" w:color="auto" w:fill="auto"/>
          </w:tcPr>
          <w:p w14:paraId="3437C651" w14:textId="77777777" w:rsidR="00B76D85" w:rsidRPr="0010078B" w:rsidRDefault="00197658" w:rsidP="00CA2198">
            <w:pPr>
              <w:jc w:val="both"/>
            </w:pPr>
            <w:r w:rsidRPr="0010078B">
              <w:rPr>
                <w:iCs/>
              </w:rPr>
              <w:t>Labklājības ministrija,</w:t>
            </w:r>
            <w:r w:rsidR="00494AEB">
              <w:rPr>
                <w:iCs/>
              </w:rPr>
              <w:t xml:space="preserve"> Centrālā statistikas pārvalde,</w:t>
            </w:r>
            <w:r w:rsidRPr="0010078B">
              <w:rPr>
                <w:iCs/>
              </w:rPr>
              <w:t xml:space="preserve"> </w:t>
            </w:r>
            <w:r w:rsidR="004129BB" w:rsidRPr="0010078B">
              <w:rPr>
                <w:iCs/>
              </w:rPr>
              <w:t xml:space="preserve">Pašvaldību sociālie dienesti, </w:t>
            </w:r>
            <w:r w:rsidR="007C486B">
              <w:rPr>
                <w:iCs/>
              </w:rPr>
              <w:t>i</w:t>
            </w:r>
            <w:r w:rsidR="004129BB" w:rsidRPr="0010078B">
              <w:rPr>
                <w:iCs/>
              </w:rPr>
              <w:t xml:space="preserve">lgstošās sociālās aprūpes un sociālās </w:t>
            </w:r>
            <w:r w:rsidR="00441957" w:rsidRPr="0010078B">
              <w:rPr>
                <w:iCs/>
              </w:rPr>
              <w:t>rehabilitācijas</w:t>
            </w:r>
            <w:r w:rsidR="004129BB" w:rsidRPr="0010078B">
              <w:rPr>
                <w:iCs/>
              </w:rPr>
              <w:t xml:space="preserve"> </w:t>
            </w:r>
            <w:r w:rsidR="00DA1301" w:rsidRPr="0010078B">
              <w:rPr>
                <w:iCs/>
              </w:rPr>
              <w:t xml:space="preserve">institūcijas, </w:t>
            </w:r>
            <w:r w:rsidR="007C486B">
              <w:rPr>
                <w:iCs/>
              </w:rPr>
              <w:t>s</w:t>
            </w:r>
            <w:r w:rsidR="00F123B1">
              <w:rPr>
                <w:iCs/>
              </w:rPr>
              <w:t xml:space="preserve">ociālās rehabilitācijas pakalpojumu sniedzēji </w:t>
            </w:r>
            <w:r w:rsidR="00CA2198">
              <w:rPr>
                <w:iCs/>
              </w:rPr>
              <w:t>v</w:t>
            </w:r>
            <w:r w:rsidR="00DA1301" w:rsidRPr="0010078B">
              <w:rPr>
                <w:iCs/>
              </w:rPr>
              <w:t>ardarbībā cietušām personām</w:t>
            </w:r>
            <w:r w:rsidR="007C486B">
              <w:rPr>
                <w:iCs/>
              </w:rPr>
              <w:t xml:space="preserve"> un vardarbīb</w:t>
            </w:r>
            <w:r w:rsidR="00CA2198">
              <w:rPr>
                <w:iCs/>
              </w:rPr>
              <w:t>u veikušām personām</w:t>
            </w:r>
            <w:r w:rsidR="007C486B">
              <w:rPr>
                <w:iCs/>
              </w:rPr>
              <w:t>.</w:t>
            </w:r>
            <w:r w:rsidR="004129BB" w:rsidRPr="0010078B">
              <w:rPr>
                <w:iCs/>
              </w:rPr>
              <w:t xml:space="preserve"> </w:t>
            </w:r>
          </w:p>
        </w:tc>
      </w:tr>
      <w:tr w:rsidR="0010078B" w:rsidRPr="0010078B" w14:paraId="710A5647" w14:textId="77777777" w:rsidTr="006A7D0B">
        <w:tc>
          <w:tcPr>
            <w:tcW w:w="396" w:type="dxa"/>
            <w:shd w:val="clear" w:color="auto" w:fill="auto"/>
          </w:tcPr>
          <w:p w14:paraId="0BD48DDE" w14:textId="77777777" w:rsidR="00230730" w:rsidRPr="0010078B" w:rsidRDefault="00230730" w:rsidP="00242D7D">
            <w:pPr>
              <w:rPr>
                <w:sz w:val="22"/>
                <w:szCs w:val="22"/>
              </w:rPr>
            </w:pPr>
            <w:r w:rsidRPr="0010078B">
              <w:rPr>
                <w:sz w:val="22"/>
                <w:szCs w:val="22"/>
              </w:rPr>
              <w:t xml:space="preserve">2. </w:t>
            </w:r>
          </w:p>
        </w:tc>
        <w:tc>
          <w:tcPr>
            <w:tcW w:w="3072" w:type="dxa"/>
            <w:shd w:val="clear" w:color="auto" w:fill="auto"/>
          </w:tcPr>
          <w:p w14:paraId="74532EE0" w14:textId="77777777" w:rsidR="00230730" w:rsidRPr="0010078B" w:rsidRDefault="00230730" w:rsidP="00242D7D">
            <w:pPr>
              <w:rPr>
                <w:sz w:val="22"/>
                <w:szCs w:val="22"/>
              </w:rPr>
            </w:pPr>
            <w:r w:rsidRPr="0010078B">
              <w:t>Tiesiskā regulējuma ietekme uz tautsaimniecību un administratīvo slogu</w:t>
            </w:r>
          </w:p>
        </w:tc>
        <w:tc>
          <w:tcPr>
            <w:tcW w:w="5819" w:type="dxa"/>
            <w:shd w:val="clear" w:color="auto" w:fill="auto"/>
          </w:tcPr>
          <w:p w14:paraId="363A2E2D" w14:textId="1DE1F312" w:rsidR="00230730" w:rsidRPr="0010078B" w:rsidRDefault="007C486B" w:rsidP="00005EA9">
            <w:pPr>
              <w:jc w:val="both"/>
            </w:pPr>
            <w:r>
              <w:t>S</w:t>
            </w:r>
            <w:r w:rsidR="00C12B7F" w:rsidRPr="0010078B">
              <w:t xml:space="preserve">abiedrības </w:t>
            </w:r>
            <w:r w:rsidR="00005EA9">
              <w:t>mērķ</w:t>
            </w:r>
            <w:r w:rsidR="00C12B7F" w:rsidRPr="0010078B">
              <w:t xml:space="preserve">grupām </w:t>
            </w:r>
            <w:r w:rsidR="00E12049">
              <w:t xml:space="preserve">noteikumu </w:t>
            </w:r>
            <w:r w:rsidR="00C12B7F" w:rsidRPr="0010078B">
              <w:t>projekta tiesiskais regulējums nemaina tiesības un pienākumus, kā arī veicamās darbības</w:t>
            </w:r>
            <w:r w:rsidR="00467553" w:rsidRPr="0010078B">
              <w:t>.</w:t>
            </w:r>
          </w:p>
        </w:tc>
      </w:tr>
      <w:tr w:rsidR="0010078B" w:rsidRPr="0010078B" w14:paraId="25BE124B" w14:textId="77777777" w:rsidTr="006A7D0B">
        <w:tc>
          <w:tcPr>
            <w:tcW w:w="396" w:type="dxa"/>
            <w:shd w:val="clear" w:color="auto" w:fill="auto"/>
          </w:tcPr>
          <w:p w14:paraId="349CCB25" w14:textId="77777777" w:rsidR="00230730" w:rsidRPr="0010078B" w:rsidRDefault="00230730" w:rsidP="00230730">
            <w:pPr>
              <w:rPr>
                <w:sz w:val="22"/>
                <w:szCs w:val="22"/>
              </w:rPr>
            </w:pPr>
            <w:r w:rsidRPr="0010078B">
              <w:rPr>
                <w:sz w:val="22"/>
                <w:szCs w:val="22"/>
              </w:rPr>
              <w:t>3.</w:t>
            </w:r>
          </w:p>
        </w:tc>
        <w:tc>
          <w:tcPr>
            <w:tcW w:w="3072" w:type="dxa"/>
            <w:shd w:val="clear" w:color="auto" w:fill="auto"/>
          </w:tcPr>
          <w:p w14:paraId="7E2A0CE6" w14:textId="77777777" w:rsidR="00230730" w:rsidRPr="0010078B" w:rsidRDefault="00230730" w:rsidP="00242D7D">
            <w:pPr>
              <w:rPr>
                <w:sz w:val="22"/>
                <w:szCs w:val="22"/>
              </w:rPr>
            </w:pPr>
            <w:r w:rsidRPr="0010078B">
              <w:rPr>
                <w:sz w:val="22"/>
                <w:szCs w:val="22"/>
              </w:rPr>
              <w:t>Administratīvo izmaksu monetārs novērtējums</w:t>
            </w:r>
          </w:p>
        </w:tc>
        <w:tc>
          <w:tcPr>
            <w:tcW w:w="5819" w:type="dxa"/>
            <w:shd w:val="clear" w:color="auto" w:fill="auto"/>
          </w:tcPr>
          <w:p w14:paraId="2E3DD82E" w14:textId="77777777" w:rsidR="00EA3ECD" w:rsidRPr="0010078B" w:rsidRDefault="00EA3ECD" w:rsidP="00EA3ECD">
            <w:pPr>
              <w:jc w:val="both"/>
              <w:rPr>
                <w:iCs/>
              </w:rPr>
            </w:pPr>
            <w:r w:rsidRPr="0010078B">
              <w:rPr>
                <w:iCs/>
              </w:rPr>
              <w:t>Administratīvo izmaksu monetārs novērtējums tiek veikts vienai iestādei, ņemot vērā to, ka iestāžu skaits, kurām var būt kāds fiskālais risks, ir mainīgs.</w:t>
            </w:r>
          </w:p>
          <w:p w14:paraId="159B23AC" w14:textId="77777777" w:rsidR="005A547B" w:rsidRDefault="005A547B" w:rsidP="005A547B">
            <w:pPr>
              <w:jc w:val="both"/>
            </w:pPr>
            <w:r>
              <w:t xml:space="preserve">Tiek pieņemts, ka informācijas sniegšanas pienākumu izpildi īsteno amatpersona, kuras atalgojums atbilst vidējam 9.mēnešalgu grupas 3.kategorijas darba samaksas apmēram 1228,48 </w:t>
            </w:r>
            <w:proofErr w:type="spellStart"/>
            <w:r w:rsidRPr="009B2A18">
              <w:rPr>
                <w:i/>
              </w:rPr>
              <w:t>euro</w:t>
            </w:r>
            <w:proofErr w:type="spellEnd"/>
            <w:r>
              <w:t xml:space="preserve">. Finanšu līdzekļu apjoms (f), kas atbilst vienas stundas likmei tiek noteikts, dalot dotās amatpersonu grupas mēnešalgas apmēru ar 160 darba stundām (1228,48/160=7,68 </w:t>
            </w:r>
            <w:proofErr w:type="spellStart"/>
            <w:r w:rsidRPr="009B2A18">
              <w:rPr>
                <w:i/>
              </w:rPr>
              <w:t>euro</w:t>
            </w:r>
            <w:proofErr w:type="spellEnd"/>
            <w:r>
              <w:t>/h).</w:t>
            </w:r>
          </w:p>
          <w:p w14:paraId="7BB4317B" w14:textId="77777777" w:rsidR="005A547B" w:rsidRDefault="005A547B" w:rsidP="005A547B">
            <w:pPr>
              <w:jc w:val="both"/>
            </w:pPr>
            <w:r>
              <w:t>Tiek pieņemts, ka atbildīgo un līdzatbildīgo institūciju darbinieku nepieciešamais laika patēriņš (l), lai iestādes saņemtu informāciju no atsevišķo fiskālo risku vadības iestādēm,  nodrošinātu informācijas sagatavošanas, apstrādes pienākumus, ir atšķirīgi:</w:t>
            </w:r>
          </w:p>
          <w:p w14:paraId="4ADB3E22" w14:textId="77777777" w:rsidR="005A547B" w:rsidRDefault="005A547B" w:rsidP="005A547B">
            <w:pPr>
              <w:jc w:val="both"/>
            </w:pPr>
            <w:r>
              <w:lastRenderedPageBreak/>
              <w:t>1.</w:t>
            </w:r>
            <w:r>
              <w:tab/>
              <w:t xml:space="preserve"> Pārskats par sociālajiem pakalpojumiem un sociālo palīdzību pagastā/novadā/pilsētā 1</w:t>
            </w:r>
            <w:r w:rsidR="00741EE9">
              <w:t>6</w:t>
            </w:r>
            <w:r>
              <w:t>9 stundas;</w:t>
            </w:r>
          </w:p>
          <w:p w14:paraId="57EB8155" w14:textId="77777777" w:rsidR="005A547B" w:rsidRDefault="005A547B" w:rsidP="005A547B">
            <w:pPr>
              <w:jc w:val="both"/>
            </w:pPr>
            <w:r>
              <w:t>2.</w:t>
            </w:r>
            <w:r>
              <w:tab/>
              <w:t>Pārskats par ilgstošas sociālās aprūpes un sociālās rehabilitācijas pakalpojumu sniegšanu 1</w:t>
            </w:r>
            <w:r w:rsidR="00741EE9">
              <w:t>40</w:t>
            </w:r>
            <w:r>
              <w:t xml:space="preserve"> stundas</w:t>
            </w:r>
          </w:p>
          <w:p w14:paraId="00CD71B3" w14:textId="77777777" w:rsidR="005A547B" w:rsidRDefault="005A547B" w:rsidP="005A547B">
            <w:pPr>
              <w:jc w:val="both"/>
            </w:pPr>
            <w:r>
              <w:t>3.</w:t>
            </w:r>
            <w:r>
              <w:tab/>
              <w:t xml:space="preserve"> Pārskati par sociālās rehabilitācijas pakalpojumu sniegšanu no prettiesiskām darbībām cietušām personām 160 stundas;</w:t>
            </w:r>
          </w:p>
          <w:p w14:paraId="648F8F01" w14:textId="77777777" w:rsidR="005A547B" w:rsidRDefault="005A547B" w:rsidP="005A547B">
            <w:pPr>
              <w:jc w:val="both"/>
            </w:pPr>
            <w:r>
              <w:t>4.</w:t>
            </w:r>
            <w:r>
              <w:tab/>
              <w:t xml:space="preserve">Mēneša operatīvais pārskats par sociālās palīdzības sniegšanu pagastā/novadā/pilsētā </w:t>
            </w:r>
            <w:r w:rsidR="00741EE9">
              <w:t>3</w:t>
            </w:r>
            <w:r>
              <w:t>0 stundas.</w:t>
            </w:r>
          </w:p>
          <w:p w14:paraId="726E154B" w14:textId="77777777" w:rsidR="005A547B" w:rsidRDefault="005A547B" w:rsidP="005A547B">
            <w:pPr>
              <w:jc w:val="both"/>
            </w:pPr>
            <w:r>
              <w:t xml:space="preserve">Tiek pieņemts, ka vienā iestādē ir viens atsevišķs fiskālais risks (kurā var būt vairāki atsevišķi fiskālie riski), kur ir iesaistīta centrālās valsts iestādes un padotības iestādes konkrētā struktūrvienība. Līdz ar to tiek pieņemts, ka uz šo vienu specifisko fiskālo risku ir 1 iesaistīti subjekti (n). </w:t>
            </w:r>
          </w:p>
          <w:p w14:paraId="0433D430" w14:textId="77777777" w:rsidR="005A547B" w:rsidRDefault="005A547B" w:rsidP="005A547B">
            <w:pPr>
              <w:jc w:val="both"/>
            </w:pPr>
            <w:r>
              <w:t>Punkts 1,2 un 3 ir paredzēta reizi gadā, punkts 4 ir paredzēts 12 reizes gadā  (b).</w:t>
            </w:r>
          </w:p>
          <w:p w14:paraId="535FE551" w14:textId="5FC977E3" w:rsidR="005A547B" w:rsidRDefault="005A547B" w:rsidP="005A547B">
            <w:pPr>
              <w:jc w:val="both"/>
            </w:pPr>
            <w:r>
              <w:t>Vidējais administratīv</w:t>
            </w:r>
            <w:r w:rsidR="00301244">
              <w:t>ais</w:t>
            </w:r>
            <w:r>
              <w:t xml:space="preserve"> slog</w:t>
            </w:r>
            <w:r w:rsidR="00301244">
              <w:t>s</w:t>
            </w:r>
            <w:r>
              <w:t xml:space="preserve">, kas saistīts ar gada un mēneša pārskatu sagatavošanu un iesniegšanu </w:t>
            </w:r>
            <w:r w:rsidR="00301244">
              <w:t>C</w:t>
            </w:r>
            <w:r>
              <w:t>entrāl</w:t>
            </w:r>
            <w:r w:rsidR="00301244">
              <w:t>ai</w:t>
            </w:r>
            <w:r>
              <w:t xml:space="preserve"> statistikas pārvaldei, un citām institūcijām sastāda (C = (f x l) x (n x b) ):</w:t>
            </w:r>
          </w:p>
          <w:p w14:paraId="20ED30E4" w14:textId="77777777" w:rsidR="005A547B" w:rsidRDefault="005A547B" w:rsidP="005A547B">
            <w:pPr>
              <w:jc w:val="both"/>
            </w:pPr>
            <w:r>
              <w:t xml:space="preserve">1. 7,68 </w:t>
            </w:r>
            <w:proofErr w:type="spellStart"/>
            <w:r w:rsidRPr="009B2A18">
              <w:rPr>
                <w:i/>
              </w:rPr>
              <w:t>euro</w:t>
            </w:r>
            <w:proofErr w:type="spellEnd"/>
            <w:r>
              <w:t>/h x 1</w:t>
            </w:r>
            <w:r w:rsidR="00741EE9">
              <w:t>6</w:t>
            </w:r>
            <w:r>
              <w:t>9h x 1cilv x 1gadījunms=1</w:t>
            </w:r>
            <w:r w:rsidR="00741EE9">
              <w:t> </w:t>
            </w:r>
            <w:r>
              <w:t>2</w:t>
            </w:r>
            <w:r w:rsidR="00741EE9">
              <w:t>97,92</w:t>
            </w:r>
            <w:r>
              <w:t xml:space="preserve"> </w:t>
            </w:r>
            <w:proofErr w:type="spellStart"/>
            <w:r w:rsidRPr="009B2A18">
              <w:rPr>
                <w:i/>
              </w:rPr>
              <w:t>euro</w:t>
            </w:r>
            <w:proofErr w:type="spellEnd"/>
          </w:p>
          <w:p w14:paraId="467953D9" w14:textId="77777777" w:rsidR="005A547B" w:rsidRDefault="005A547B" w:rsidP="005A547B">
            <w:pPr>
              <w:jc w:val="both"/>
            </w:pPr>
            <w:r>
              <w:t xml:space="preserve">2. 7,68 </w:t>
            </w:r>
            <w:proofErr w:type="spellStart"/>
            <w:r w:rsidRPr="009B2A18">
              <w:rPr>
                <w:i/>
              </w:rPr>
              <w:t>euro</w:t>
            </w:r>
            <w:proofErr w:type="spellEnd"/>
            <w:r>
              <w:t>/h x 1</w:t>
            </w:r>
            <w:r w:rsidR="00741EE9">
              <w:t>40</w:t>
            </w:r>
            <w:r>
              <w:t>h x 1cilv. x 1gadījums=</w:t>
            </w:r>
            <w:r w:rsidR="00D656FA">
              <w:t>1 075,20</w:t>
            </w:r>
            <w:r>
              <w:t xml:space="preserve"> </w:t>
            </w:r>
            <w:proofErr w:type="spellStart"/>
            <w:r w:rsidRPr="009B2A18">
              <w:rPr>
                <w:i/>
              </w:rPr>
              <w:t>euro</w:t>
            </w:r>
            <w:proofErr w:type="spellEnd"/>
          </w:p>
          <w:p w14:paraId="37928E70" w14:textId="77777777" w:rsidR="005A547B" w:rsidRDefault="005A547B" w:rsidP="005A547B">
            <w:pPr>
              <w:jc w:val="both"/>
            </w:pPr>
            <w:r>
              <w:t xml:space="preserve">3. 7,68 </w:t>
            </w:r>
            <w:proofErr w:type="spellStart"/>
            <w:r w:rsidRPr="009B2A18">
              <w:rPr>
                <w:i/>
              </w:rPr>
              <w:t>euro</w:t>
            </w:r>
            <w:proofErr w:type="spellEnd"/>
            <w:r>
              <w:t xml:space="preserve">/h x 160h x 1cilv x 1gadījums=1 228,80 </w:t>
            </w:r>
            <w:proofErr w:type="spellStart"/>
            <w:r w:rsidRPr="009B2A18">
              <w:rPr>
                <w:i/>
              </w:rPr>
              <w:t>euro</w:t>
            </w:r>
            <w:proofErr w:type="spellEnd"/>
          </w:p>
          <w:p w14:paraId="0C6F3A07" w14:textId="77777777" w:rsidR="005A547B" w:rsidRDefault="005A547B" w:rsidP="005A547B">
            <w:pPr>
              <w:jc w:val="both"/>
            </w:pPr>
            <w:r>
              <w:t xml:space="preserve">4. 7,68 </w:t>
            </w:r>
            <w:proofErr w:type="spellStart"/>
            <w:r w:rsidRPr="009B2A18">
              <w:rPr>
                <w:i/>
              </w:rPr>
              <w:t>euro</w:t>
            </w:r>
            <w:proofErr w:type="spellEnd"/>
            <w:r>
              <w:t xml:space="preserve">/h x </w:t>
            </w:r>
            <w:r w:rsidR="00741EE9">
              <w:t>3</w:t>
            </w:r>
            <w:r>
              <w:t>0h x 1cilv x 12gadījumi=</w:t>
            </w:r>
            <w:r w:rsidR="00D656FA">
              <w:t>2 764,80</w:t>
            </w:r>
            <w:r>
              <w:t xml:space="preserve"> </w:t>
            </w:r>
            <w:proofErr w:type="spellStart"/>
            <w:r w:rsidRPr="009B2A18">
              <w:rPr>
                <w:i/>
              </w:rPr>
              <w:t>euro</w:t>
            </w:r>
            <w:proofErr w:type="spellEnd"/>
          </w:p>
          <w:p w14:paraId="2211E221" w14:textId="77777777" w:rsidR="005A547B" w:rsidRDefault="005A547B" w:rsidP="005A547B">
            <w:pPr>
              <w:jc w:val="both"/>
            </w:pPr>
            <w:r>
              <w:t>Kopā gadā administratīvās izmaksas sastāda</w:t>
            </w:r>
          </w:p>
          <w:p w14:paraId="231CDFAF" w14:textId="77777777" w:rsidR="005A547B" w:rsidRPr="0010078B" w:rsidRDefault="00D656FA" w:rsidP="00D656FA">
            <w:pPr>
              <w:jc w:val="both"/>
            </w:pPr>
            <w:r>
              <w:t>6 366,72</w:t>
            </w:r>
            <w:r w:rsidR="005A547B">
              <w:t xml:space="preserve"> euro=</w:t>
            </w:r>
            <w:r>
              <w:t>1 297,92</w:t>
            </w:r>
            <w:r w:rsidR="005A547B">
              <w:t>+</w:t>
            </w:r>
            <w:r>
              <w:t xml:space="preserve">1 075,20 </w:t>
            </w:r>
            <w:r w:rsidR="005A547B">
              <w:t>+1 228,80+</w:t>
            </w:r>
            <w:r>
              <w:t xml:space="preserve">2 764,80 </w:t>
            </w:r>
          </w:p>
        </w:tc>
      </w:tr>
      <w:tr w:rsidR="00230730" w:rsidRPr="0010078B" w14:paraId="713AFBF0" w14:textId="77777777" w:rsidTr="006A7D0B">
        <w:tc>
          <w:tcPr>
            <w:tcW w:w="396" w:type="dxa"/>
            <w:shd w:val="clear" w:color="auto" w:fill="auto"/>
          </w:tcPr>
          <w:p w14:paraId="07D0994C" w14:textId="77777777" w:rsidR="00230730" w:rsidRPr="0010078B" w:rsidRDefault="00230730" w:rsidP="00242D7D">
            <w:pPr>
              <w:rPr>
                <w:sz w:val="22"/>
                <w:szCs w:val="22"/>
              </w:rPr>
            </w:pPr>
            <w:r w:rsidRPr="0010078B">
              <w:rPr>
                <w:sz w:val="22"/>
                <w:szCs w:val="22"/>
              </w:rPr>
              <w:lastRenderedPageBreak/>
              <w:t xml:space="preserve">4. </w:t>
            </w:r>
          </w:p>
        </w:tc>
        <w:tc>
          <w:tcPr>
            <w:tcW w:w="3072" w:type="dxa"/>
            <w:shd w:val="clear" w:color="auto" w:fill="auto"/>
          </w:tcPr>
          <w:p w14:paraId="6895A81D" w14:textId="77777777" w:rsidR="00230730" w:rsidRPr="0010078B" w:rsidRDefault="00230730" w:rsidP="00242D7D">
            <w:pPr>
              <w:rPr>
                <w:sz w:val="22"/>
                <w:szCs w:val="22"/>
              </w:rPr>
            </w:pPr>
            <w:r w:rsidRPr="0010078B">
              <w:rPr>
                <w:sz w:val="22"/>
                <w:szCs w:val="22"/>
              </w:rPr>
              <w:t>Cita informācija</w:t>
            </w:r>
          </w:p>
        </w:tc>
        <w:tc>
          <w:tcPr>
            <w:tcW w:w="5819" w:type="dxa"/>
            <w:shd w:val="clear" w:color="auto" w:fill="auto"/>
          </w:tcPr>
          <w:p w14:paraId="505F4085" w14:textId="77777777" w:rsidR="00230730" w:rsidRPr="0010078B" w:rsidRDefault="00230730" w:rsidP="00C75701">
            <w:pPr>
              <w:jc w:val="both"/>
              <w:rPr>
                <w:iCs/>
              </w:rPr>
            </w:pPr>
            <w:r w:rsidRPr="0010078B">
              <w:rPr>
                <w:b/>
                <w:iCs/>
              </w:rPr>
              <w:t>Nav</w:t>
            </w:r>
          </w:p>
        </w:tc>
      </w:tr>
    </w:tbl>
    <w:p w14:paraId="7EE02D48" w14:textId="77777777" w:rsidR="00170E63" w:rsidRDefault="00170E63" w:rsidP="00B76D85">
      <w:pPr>
        <w:jc w:val="center"/>
      </w:pPr>
    </w:p>
    <w:p w14:paraId="1EE318B4" w14:textId="77777777" w:rsidR="00E11D8B" w:rsidRDefault="00E11D8B" w:rsidP="00B76D85">
      <w:pPr>
        <w:jc w:val="center"/>
      </w:pPr>
    </w:p>
    <w:p w14:paraId="09376E29" w14:textId="77777777" w:rsidR="00E11D8B" w:rsidRPr="0010078B" w:rsidRDefault="00E11D8B" w:rsidP="00B76D85">
      <w:pPr>
        <w:jc w:val="cente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9147F5" w:rsidRPr="009147F5" w14:paraId="5552BD9B" w14:textId="77777777" w:rsidTr="000A4751">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8D9C475" w14:textId="77777777" w:rsidR="000A4751" w:rsidRPr="009147F5" w:rsidRDefault="000A4751">
            <w:pPr>
              <w:spacing w:before="100" w:beforeAutospacing="1" w:after="100" w:afterAutospacing="1" w:line="293" w:lineRule="atLeast"/>
              <w:jc w:val="center"/>
              <w:rPr>
                <w:b/>
                <w:bCs/>
              </w:rPr>
            </w:pPr>
            <w:r w:rsidRPr="009147F5">
              <w:rPr>
                <w:b/>
                <w:bCs/>
              </w:rPr>
              <w:t>III. Tiesību akta projekta ietekme uz valsts budžetu un pašvaldību budžetiem</w:t>
            </w:r>
          </w:p>
        </w:tc>
      </w:tr>
      <w:tr w:rsidR="009147F5" w:rsidRPr="009147F5" w14:paraId="4EC39A19" w14:textId="77777777" w:rsidTr="000A4751">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6240BBF2" w14:textId="77777777" w:rsidR="000A4751" w:rsidRPr="009147F5" w:rsidRDefault="000A4751">
            <w:pPr>
              <w:spacing w:before="100" w:beforeAutospacing="1" w:after="100" w:afterAutospacing="1" w:line="293" w:lineRule="atLeast"/>
              <w:jc w:val="center"/>
              <w:rPr>
                <w:b/>
                <w:bCs/>
              </w:rPr>
            </w:pPr>
            <w:r w:rsidRPr="009147F5">
              <w:rPr>
                <w:b/>
                <w:bCs/>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8772E8B" w14:textId="238E7D7C" w:rsidR="000A4751" w:rsidRPr="009147F5" w:rsidRDefault="009B2A18">
            <w:pPr>
              <w:spacing w:before="100" w:beforeAutospacing="1" w:after="100" w:afterAutospacing="1" w:line="293" w:lineRule="atLeast"/>
              <w:jc w:val="center"/>
              <w:rPr>
                <w:b/>
                <w:bCs/>
              </w:rPr>
            </w:pPr>
            <w:r>
              <w:rPr>
                <w:b/>
                <w:bCs/>
              </w:rPr>
              <w:t>2017</w:t>
            </w:r>
            <w:r w:rsidR="000A4751" w:rsidRPr="009147F5">
              <w:rPr>
                <w:b/>
                <w:bCs/>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3F417F76" w14:textId="77777777" w:rsidR="000A4751" w:rsidRPr="009147F5" w:rsidRDefault="000A4751">
            <w:pPr>
              <w:spacing w:before="100" w:beforeAutospacing="1" w:after="100" w:afterAutospacing="1" w:line="293" w:lineRule="atLeast"/>
              <w:jc w:val="center"/>
            </w:pPr>
            <w:r w:rsidRPr="009147F5">
              <w:t>Turpmākie trīs gadi (</w:t>
            </w:r>
            <w:proofErr w:type="spellStart"/>
            <w:r w:rsidRPr="009147F5">
              <w:rPr>
                <w:i/>
                <w:iCs/>
              </w:rPr>
              <w:t>euro</w:t>
            </w:r>
            <w:proofErr w:type="spellEnd"/>
            <w:r w:rsidRPr="009147F5">
              <w:t>)</w:t>
            </w:r>
          </w:p>
        </w:tc>
      </w:tr>
      <w:tr w:rsidR="009147F5" w:rsidRPr="009147F5" w14:paraId="4D6E78A0" w14:textId="77777777" w:rsidTr="000A475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FB8ED1" w14:textId="77777777" w:rsidR="000A4751" w:rsidRPr="009147F5" w:rsidRDefault="000A4751">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DA2CAAF" w14:textId="77777777" w:rsidR="000A4751" w:rsidRPr="009147F5" w:rsidRDefault="000A4751">
            <w:pPr>
              <w:rPr>
                <w:b/>
                <w:bC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9465E7C" w14:textId="7ECC6001" w:rsidR="000A4751" w:rsidRPr="009147F5" w:rsidRDefault="009B2A18">
            <w:pPr>
              <w:spacing w:before="100" w:beforeAutospacing="1" w:after="100" w:afterAutospacing="1" w:line="293" w:lineRule="atLeast"/>
              <w:jc w:val="center"/>
              <w:rPr>
                <w:b/>
                <w:bCs/>
              </w:rPr>
            </w:pPr>
            <w:r>
              <w:rPr>
                <w:b/>
                <w:bCs/>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39CC1" w14:textId="75DBC3DD" w:rsidR="000A4751" w:rsidRPr="009147F5" w:rsidRDefault="009B2A18">
            <w:pPr>
              <w:spacing w:before="100" w:beforeAutospacing="1" w:after="100" w:afterAutospacing="1" w:line="293" w:lineRule="atLeast"/>
              <w:jc w:val="center"/>
              <w:rPr>
                <w:b/>
                <w:bCs/>
              </w:rPr>
            </w:pPr>
            <w:r>
              <w:rPr>
                <w:b/>
                <w:bCs/>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C16C8F" w14:textId="1645573D" w:rsidR="000A4751" w:rsidRPr="009147F5" w:rsidRDefault="009B2A18">
            <w:pPr>
              <w:spacing w:before="100" w:beforeAutospacing="1" w:after="100" w:afterAutospacing="1" w:line="293" w:lineRule="atLeast"/>
              <w:jc w:val="center"/>
              <w:rPr>
                <w:b/>
                <w:bCs/>
              </w:rPr>
            </w:pPr>
            <w:r>
              <w:rPr>
                <w:b/>
                <w:bCs/>
              </w:rPr>
              <w:t>2020</w:t>
            </w:r>
          </w:p>
        </w:tc>
      </w:tr>
      <w:tr w:rsidR="009147F5" w:rsidRPr="009147F5" w14:paraId="5D8CAD6F" w14:textId="77777777" w:rsidTr="000A475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166154" w14:textId="77777777" w:rsidR="000A4751" w:rsidRPr="009147F5" w:rsidRDefault="000A4751">
            <w:pPr>
              <w:rPr>
                <w:b/>
                <w:bCs/>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FA086C4" w14:textId="77777777" w:rsidR="000A4751" w:rsidRPr="009147F5" w:rsidRDefault="000A4751">
            <w:pPr>
              <w:spacing w:before="100" w:beforeAutospacing="1" w:after="100" w:afterAutospacing="1" w:line="293" w:lineRule="atLeast"/>
              <w:jc w:val="center"/>
            </w:pPr>
            <w:r w:rsidRPr="009147F5">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C5EF055" w14:textId="77777777" w:rsidR="000A4751" w:rsidRPr="009147F5" w:rsidRDefault="000A4751">
            <w:pPr>
              <w:spacing w:before="100" w:beforeAutospacing="1" w:after="100" w:afterAutospacing="1" w:line="293" w:lineRule="atLeast"/>
              <w:jc w:val="center"/>
            </w:pPr>
            <w:r w:rsidRPr="009147F5">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136D2A2" w14:textId="77777777" w:rsidR="000A4751" w:rsidRPr="009147F5" w:rsidRDefault="000A4751">
            <w:pPr>
              <w:spacing w:before="100" w:beforeAutospacing="1" w:after="100" w:afterAutospacing="1" w:line="293" w:lineRule="atLeast"/>
              <w:jc w:val="center"/>
            </w:pPr>
            <w:r w:rsidRPr="009147F5">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F3B5DF3" w14:textId="77777777" w:rsidR="000A4751" w:rsidRPr="009147F5" w:rsidRDefault="000A4751">
            <w:pPr>
              <w:spacing w:before="100" w:beforeAutospacing="1" w:after="100" w:afterAutospacing="1" w:line="293" w:lineRule="atLeast"/>
              <w:jc w:val="center"/>
            </w:pPr>
            <w:r w:rsidRPr="009147F5">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3902FF5" w14:textId="77777777" w:rsidR="000A4751" w:rsidRPr="009147F5" w:rsidRDefault="000A4751">
            <w:pPr>
              <w:spacing w:before="100" w:beforeAutospacing="1" w:after="100" w:afterAutospacing="1" w:line="293" w:lineRule="atLeast"/>
              <w:jc w:val="center"/>
            </w:pPr>
            <w:r w:rsidRPr="009147F5">
              <w:t>izmaiņas, salīdzinot ar kārtējo (n) gadu</w:t>
            </w:r>
          </w:p>
        </w:tc>
      </w:tr>
      <w:tr w:rsidR="009147F5" w:rsidRPr="009147F5" w14:paraId="7F8093A6"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78E65695" w14:textId="77777777" w:rsidR="000A4751" w:rsidRPr="009147F5" w:rsidRDefault="000A4751">
            <w:pPr>
              <w:spacing w:before="100" w:beforeAutospacing="1" w:after="100" w:afterAutospacing="1" w:line="293" w:lineRule="atLeast"/>
              <w:jc w:val="center"/>
              <w:rPr>
                <w:sz w:val="20"/>
              </w:rPr>
            </w:pPr>
            <w:r w:rsidRPr="009147F5">
              <w:rPr>
                <w:sz w:val="20"/>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7949B79" w14:textId="77777777" w:rsidR="000A4751" w:rsidRPr="009147F5" w:rsidRDefault="000A4751">
            <w:pPr>
              <w:spacing w:before="100" w:beforeAutospacing="1" w:after="100" w:afterAutospacing="1" w:line="293" w:lineRule="atLeast"/>
              <w:jc w:val="center"/>
              <w:rPr>
                <w:sz w:val="20"/>
              </w:rPr>
            </w:pPr>
            <w:r w:rsidRPr="009147F5">
              <w:rPr>
                <w:sz w:val="20"/>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B1D48D9" w14:textId="77777777" w:rsidR="000A4751" w:rsidRPr="009147F5" w:rsidRDefault="000A4751">
            <w:pPr>
              <w:spacing w:before="100" w:beforeAutospacing="1" w:after="100" w:afterAutospacing="1" w:line="293" w:lineRule="atLeast"/>
              <w:jc w:val="center"/>
              <w:rPr>
                <w:sz w:val="20"/>
              </w:rPr>
            </w:pPr>
            <w:r w:rsidRPr="009147F5">
              <w:rPr>
                <w:sz w:val="20"/>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D808926" w14:textId="77777777" w:rsidR="000A4751" w:rsidRPr="009147F5" w:rsidRDefault="000A4751">
            <w:pPr>
              <w:spacing w:before="100" w:beforeAutospacing="1" w:after="100" w:afterAutospacing="1" w:line="293" w:lineRule="atLeast"/>
              <w:jc w:val="center"/>
              <w:rPr>
                <w:sz w:val="20"/>
              </w:rPr>
            </w:pPr>
            <w:r w:rsidRPr="009147F5">
              <w:rPr>
                <w:sz w:val="20"/>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71A21E4" w14:textId="77777777" w:rsidR="000A4751" w:rsidRPr="009147F5" w:rsidRDefault="000A4751">
            <w:pPr>
              <w:spacing w:before="100" w:beforeAutospacing="1" w:after="100" w:afterAutospacing="1" w:line="293" w:lineRule="atLeast"/>
              <w:jc w:val="center"/>
              <w:rPr>
                <w:sz w:val="20"/>
              </w:rPr>
            </w:pPr>
            <w:r w:rsidRPr="009147F5">
              <w:rPr>
                <w:sz w:val="20"/>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92EC50" w14:textId="77777777" w:rsidR="000A4751" w:rsidRPr="009147F5" w:rsidRDefault="000A4751">
            <w:pPr>
              <w:spacing w:before="100" w:beforeAutospacing="1" w:after="100" w:afterAutospacing="1" w:line="293" w:lineRule="atLeast"/>
              <w:jc w:val="center"/>
              <w:rPr>
                <w:sz w:val="20"/>
              </w:rPr>
            </w:pPr>
            <w:r w:rsidRPr="009147F5">
              <w:rPr>
                <w:sz w:val="20"/>
              </w:rPr>
              <w:t>6</w:t>
            </w:r>
          </w:p>
        </w:tc>
      </w:tr>
      <w:tr w:rsidR="009147F5" w:rsidRPr="009147F5" w14:paraId="527272D6"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2AD384D" w14:textId="77777777" w:rsidR="000A4751" w:rsidRPr="009147F5" w:rsidRDefault="000A4751">
            <w:r w:rsidRPr="009147F5">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4A559227" w14:textId="77777777" w:rsidR="000A4751" w:rsidRPr="009147F5" w:rsidRDefault="000A4751">
            <w:pPr>
              <w:jc w:val="center"/>
            </w:pPr>
            <w:r w:rsidRPr="009147F5">
              <w:t>128 129</w:t>
            </w:r>
          </w:p>
        </w:tc>
        <w:tc>
          <w:tcPr>
            <w:tcW w:w="850" w:type="pct"/>
            <w:tcBorders>
              <w:top w:val="outset" w:sz="6" w:space="0" w:color="414142"/>
              <w:left w:val="outset" w:sz="6" w:space="0" w:color="414142"/>
              <w:bottom w:val="outset" w:sz="6" w:space="0" w:color="414142"/>
              <w:right w:val="outset" w:sz="6" w:space="0" w:color="414142"/>
            </w:tcBorders>
            <w:hideMark/>
          </w:tcPr>
          <w:p w14:paraId="4FD4B424"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2E0FAEFB"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2AB8AE39"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0A008EC9" w14:textId="77777777" w:rsidR="000A4751" w:rsidRPr="009147F5" w:rsidRDefault="000A4751">
            <w:pPr>
              <w:jc w:val="center"/>
            </w:pPr>
            <w:r w:rsidRPr="009147F5">
              <w:t>0</w:t>
            </w:r>
          </w:p>
        </w:tc>
      </w:tr>
      <w:tr w:rsidR="009147F5" w:rsidRPr="009147F5" w14:paraId="34A64A23"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BAC4FF7" w14:textId="77777777" w:rsidR="000A4751" w:rsidRPr="009147F5" w:rsidRDefault="000A4751" w:rsidP="000A4751">
            <w:pPr>
              <w:pStyle w:val="ListParagraph"/>
              <w:numPr>
                <w:ilvl w:val="1"/>
                <w:numId w:val="3"/>
              </w:numPr>
            </w:pPr>
            <w:r w:rsidRPr="009147F5">
              <w:t>valsts pamatbudžets, tai skaitā ieņēmumi no maksas pakalpojumiem un citi pašu ieņēmumi</w:t>
            </w:r>
          </w:p>
          <w:p w14:paraId="6C84707F" w14:textId="77777777" w:rsidR="000A4751" w:rsidRPr="009147F5" w:rsidRDefault="000A4751">
            <w:pPr>
              <w:pStyle w:val="ListParagraph"/>
              <w:ind w:left="420"/>
            </w:pPr>
            <w:r w:rsidRPr="009147F5">
              <w:rPr>
                <w:sz w:val="22"/>
                <w:szCs w:val="22"/>
              </w:rPr>
              <w:t>97.01.00  „Labklājības nozares vadība un politikas plānošana”</w:t>
            </w:r>
          </w:p>
        </w:tc>
        <w:tc>
          <w:tcPr>
            <w:tcW w:w="650" w:type="pct"/>
            <w:tcBorders>
              <w:top w:val="outset" w:sz="6" w:space="0" w:color="414142"/>
              <w:left w:val="outset" w:sz="6" w:space="0" w:color="414142"/>
              <w:bottom w:val="outset" w:sz="6" w:space="0" w:color="414142"/>
              <w:right w:val="outset" w:sz="6" w:space="0" w:color="414142"/>
            </w:tcBorders>
            <w:hideMark/>
          </w:tcPr>
          <w:p w14:paraId="2FDCBA10" w14:textId="77777777" w:rsidR="000A4751" w:rsidRPr="009147F5" w:rsidRDefault="000A4751">
            <w:pPr>
              <w:jc w:val="center"/>
            </w:pPr>
            <w:r w:rsidRPr="009147F5">
              <w:t>128 129</w:t>
            </w:r>
          </w:p>
        </w:tc>
        <w:tc>
          <w:tcPr>
            <w:tcW w:w="850" w:type="pct"/>
            <w:tcBorders>
              <w:top w:val="outset" w:sz="6" w:space="0" w:color="414142"/>
              <w:left w:val="outset" w:sz="6" w:space="0" w:color="414142"/>
              <w:bottom w:val="outset" w:sz="6" w:space="0" w:color="414142"/>
              <w:right w:val="outset" w:sz="6" w:space="0" w:color="414142"/>
            </w:tcBorders>
            <w:hideMark/>
          </w:tcPr>
          <w:p w14:paraId="41DAD074"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027BC76A"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619DD5BE"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7F1DC89E" w14:textId="77777777" w:rsidR="000A4751" w:rsidRPr="009147F5" w:rsidRDefault="000A4751">
            <w:pPr>
              <w:jc w:val="center"/>
            </w:pPr>
            <w:r w:rsidRPr="009147F5">
              <w:t>0</w:t>
            </w:r>
          </w:p>
        </w:tc>
      </w:tr>
      <w:tr w:rsidR="009147F5" w:rsidRPr="009147F5" w14:paraId="025D9A36"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A76FA8D" w14:textId="77777777" w:rsidR="000A4751" w:rsidRPr="009147F5" w:rsidRDefault="000A4751">
            <w:r w:rsidRPr="009147F5">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76EB41" w14:textId="77777777" w:rsidR="000A4751" w:rsidRPr="009147F5" w:rsidRDefault="000A4751">
            <w:pPr>
              <w:jc w:val="center"/>
            </w:pPr>
            <w:r w:rsidRPr="009147F5">
              <w:t>0</w:t>
            </w:r>
          </w:p>
        </w:tc>
        <w:tc>
          <w:tcPr>
            <w:tcW w:w="850" w:type="pct"/>
            <w:tcBorders>
              <w:top w:val="outset" w:sz="6" w:space="0" w:color="414142"/>
              <w:left w:val="outset" w:sz="6" w:space="0" w:color="414142"/>
              <w:bottom w:val="outset" w:sz="6" w:space="0" w:color="414142"/>
              <w:right w:val="outset" w:sz="6" w:space="0" w:color="414142"/>
            </w:tcBorders>
            <w:hideMark/>
          </w:tcPr>
          <w:p w14:paraId="7A2C1C5D"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09491074"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5308DE93"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164F7C3B" w14:textId="77777777" w:rsidR="000A4751" w:rsidRPr="009147F5" w:rsidRDefault="000A4751">
            <w:pPr>
              <w:jc w:val="center"/>
            </w:pPr>
            <w:r w:rsidRPr="009147F5">
              <w:t>0</w:t>
            </w:r>
          </w:p>
        </w:tc>
      </w:tr>
      <w:tr w:rsidR="009147F5" w:rsidRPr="009147F5" w14:paraId="0C43746C"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BF1B4A0" w14:textId="77777777" w:rsidR="000A4751" w:rsidRPr="009147F5" w:rsidRDefault="000A4751">
            <w:r w:rsidRPr="009147F5">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62AB4201" w14:textId="77777777" w:rsidR="000A4751" w:rsidRPr="009147F5" w:rsidRDefault="000A4751">
            <w:pPr>
              <w:jc w:val="center"/>
            </w:pPr>
            <w:r w:rsidRPr="009147F5">
              <w:t>0</w:t>
            </w:r>
          </w:p>
        </w:tc>
        <w:tc>
          <w:tcPr>
            <w:tcW w:w="850" w:type="pct"/>
            <w:tcBorders>
              <w:top w:val="outset" w:sz="6" w:space="0" w:color="414142"/>
              <w:left w:val="outset" w:sz="6" w:space="0" w:color="414142"/>
              <w:bottom w:val="outset" w:sz="6" w:space="0" w:color="414142"/>
              <w:right w:val="outset" w:sz="6" w:space="0" w:color="414142"/>
            </w:tcBorders>
            <w:hideMark/>
          </w:tcPr>
          <w:p w14:paraId="5F101613"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072BBE75"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34364308"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20B64A0C" w14:textId="77777777" w:rsidR="000A4751" w:rsidRPr="009147F5" w:rsidRDefault="000A4751">
            <w:pPr>
              <w:jc w:val="center"/>
            </w:pPr>
            <w:r w:rsidRPr="009147F5">
              <w:t>0</w:t>
            </w:r>
          </w:p>
        </w:tc>
      </w:tr>
      <w:tr w:rsidR="009147F5" w:rsidRPr="009147F5" w14:paraId="0ED7C2E5"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2D60058" w14:textId="77777777" w:rsidR="000A4751" w:rsidRPr="009147F5" w:rsidRDefault="000A4751">
            <w:r w:rsidRPr="009147F5">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6D7F0C8" w14:textId="77777777" w:rsidR="000A4751" w:rsidRPr="009147F5" w:rsidRDefault="000A4751">
            <w:pPr>
              <w:jc w:val="center"/>
            </w:pPr>
            <w:r w:rsidRPr="009147F5">
              <w:t>128 129</w:t>
            </w:r>
          </w:p>
        </w:tc>
        <w:tc>
          <w:tcPr>
            <w:tcW w:w="850" w:type="pct"/>
            <w:tcBorders>
              <w:top w:val="outset" w:sz="6" w:space="0" w:color="414142"/>
              <w:left w:val="outset" w:sz="6" w:space="0" w:color="414142"/>
              <w:bottom w:val="outset" w:sz="6" w:space="0" w:color="414142"/>
              <w:right w:val="outset" w:sz="6" w:space="0" w:color="414142"/>
            </w:tcBorders>
            <w:hideMark/>
          </w:tcPr>
          <w:p w14:paraId="153D0712"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6144EBEB"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2C1B80EC"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362D9C73" w14:textId="77777777" w:rsidR="000A4751" w:rsidRPr="009147F5" w:rsidRDefault="000A4751">
            <w:pPr>
              <w:jc w:val="center"/>
            </w:pPr>
            <w:r w:rsidRPr="009147F5">
              <w:t>0</w:t>
            </w:r>
          </w:p>
        </w:tc>
      </w:tr>
      <w:tr w:rsidR="009147F5" w:rsidRPr="009147F5" w14:paraId="5F321B5A"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65C79E0" w14:textId="77777777" w:rsidR="000A4751" w:rsidRPr="009147F5" w:rsidRDefault="000A4751">
            <w:r w:rsidRPr="009147F5">
              <w:t>2.1. valsts pamatbudžets</w:t>
            </w:r>
          </w:p>
          <w:p w14:paraId="24BC4012" w14:textId="77777777" w:rsidR="000A4751" w:rsidRPr="009147F5" w:rsidRDefault="000A4751">
            <w:r w:rsidRPr="009147F5">
              <w:rPr>
                <w:sz w:val="22"/>
                <w:szCs w:val="22"/>
              </w:rPr>
              <w:t>97.01.00  „Labklājības nozares vadība un politikas plānošana”</w:t>
            </w:r>
          </w:p>
        </w:tc>
        <w:tc>
          <w:tcPr>
            <w:tcW w:w="650" w:type="pct"/>
            <w:tcBorders>
              <w:top w:val="outset" w:sz="6" w:space="0" w:color="414142"/>
              <w:left w:val="outset" w:sz="6" w:space="0" w:color="414142"/>
              <w:bottom w:val="outset" w:sz="6" w:space="0" w:color="414142"/>
              <w:right w:val="outset" w:sz="6" w:space="0" w:color="414142"/>
            </w:tcBorders>
            <w:hideMark/>
          </w:tcPr>
          <w:p w14:paraId="64F2C722" w14:textId="77777777" w:rsidR="000A4751" w:rsidRPr="009147F5" w:rsidRDefault="000A4751">
            <w:pPr>
              <w:jc w:val="center"/>
            </w:pPr>
            <w:r w:rsidRPr="009147F5">
              <w:t>128 129</w:t>
            </w:r>
          </w:p>
        </w:tc>
        <w:tc>
          <w:tcPr>
            <w:tcW w:w="850" w:type="pct"/>
            <w:tcBorders>
              <w:top w:val="outset" w:sz="6" w:space="0" w:color="414142"/>
              <w:left w:val="outset" w:sz="6" w:space="0" w:color="414142"/>
              <w:bottom w:val="outset" w:sz="6" w:space="0" w:color="414142"/>
              <w:right w:val="outset" w:sz="6" w:space="0" w:color="414142"/>
            </w:tcBorders>
            <w:hideMark/>
          </w:tcPr>
          <w:p w14:paraId="50CE3FF6"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1378ADB1"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17AC134E"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3F6D4D0F" w14:textId="77777777" w:rsidR="000A4751" w:rsidRPr="009147F5" w:rsidRDefault="000A4751">
            <w:pPr>
              <w:jc w:val="center"/>
            </w:pPr>
            <w:r w:rsidRPr="009147F5">
              <w:t>0</w:t>
            </w:r>
          </w:p>
        </w:tc>
      </w:tr>
      <w:tr w:rsidR="009147F5" w:rsidRPr="009147F5" w14:paraId="161C1F0C"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05042E9" w14:textId="77777777" w:rsidR="000A4751" w:rsidRPr="009147F5" w:rsidRDefault="000A4751">
            <w:r w:rsidRPr="009147F5">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2397BF" w14:textId="77777777" w:rsidR="000A4751" w:rsidRPr="009147F5" w:rsidRDefault="000A4751">
            <w:pPr>
              <w:jc w:val="center"/>
            </w:pPr>
            <w:r w:rsidRPr="009147F5">
              <w:t>0</w:t>
            </w:r>
          </w:p>
        </w:tc>
        <w:tc>
          <w:tcPr>
            <w:tcW w:w="850" w:type="pct"/>
            <w:tcBorders>
              <w:top w:val="outset" w:sz="6" w:space="0" w:color="414142"/>
              <w:left w:val="outset" w:sz="6" w:space="0" w:color="414142"/>
              <w:bottom w:val="outset" w:sz="6" w:space="0" w:color="414142"/>
              <w:right w:val="outset" w:sz="6" w:space="0" w:color="414142"/>
            </w:tcBorders>
            <w:hideMark/>
          </w:tcPr>
          <w:p w14:paraId="6A814F94"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7DD6CEC2"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34C6DB31"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4BD3C43C" w14:textId="77777777" w:rsidR="000A4751" w:rsidRPr="009147F5" w:rsidRDefault="000A4751">
            <w:pPr>
              <w:jc w:val="center"/>
            </w:pPr>
            <w:r w:rsidRPr="009147F5">
              <w:t>0</w:t>
            </w:r>
          </w:p>
        </w:tc>
      </w:tr>
      <w:tr w:rsidR="009147F5" w:rsidRPr="009147F5" w14:paraId="2F3061DD"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FDFBC64" w14:textId="77777777" w:rsidR="000A4751" w:rsidRPr="009147F5" w:rsidRDefault="000A4751">
            <w:r w:rsidRPr="009147F5">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54B2889" w14:textId="77777777" w:rsidR="000A4751" w:rsidRPr="009147F5" w:rsidRDefault="000A4751">
            <w:pPr>
              <w:jc w:val="center"/>
            </w:pPr>
            <w:r w:rsidRPr="009147F5">
              <w:t>0</w:t>
            </w:r>
          </w:p>
        </w:tc>
        <w:tc>
          <w:tcPr>
            <w:tcW w:w="850" w:type="pct"/>
            <w:tcBorders>
              <w:top w:val="outset" w:sz="6" w:space="0" w:color="414142"/>
              <w:left w:val="outset" w:sz="6" w:space="0" w:color="414142"/>
              <w:bottom w:val="outset" w:sz="6" w:space="0" w:color="414142"/>
              <w:right w:val="outset" w:sz="6" w:space="0" w:color="414142"/>
            </w:tcBorders>
            <w:hideMark/>
          </w:tcPr>
          <w:p w14:paraId="3F5EF24D"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38824858"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791E1FAC"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13B2032C" w14:textId="77777777" w:rsidR="000A4751" w:rsidRPr="009147F5" w:rsidRDefault="000A4751">
            <w:pPr>
              <w:jc w:val="center"/>
            </w:pPr>
            <w:r w:rsidRPr="009147F5">
              <w:t>0</w:t>
            </w:r>
          </w:p>
        </w:tc>
      </w:tr>
      <w:tr w:rsidR="009147F5" w:rsidRPr="009147F5" w14:paraId="79BA8246"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E271B92" w14:textId="77777777" w:rsidR="000A4751" w:rsidRPr="009147F5" w:rsidRDefault="000A4751">
            <w:r w:rsidRPr="009147F5">
              <w:t>3. Finansiālā ietekme:</w:t>
            </w:r>
          </w:p>
        </w:tc>
        <w:tc>
          <w:tcPr>
            <w:tcW w:w="650" w:type="pct"/>
            <w:tcBorders>
              <w:top w:val="outset" w:sz="6" w:space="0" w:color="414142"/>
              <w:left w:val="outset" w:sz="6" w:space="0" w:color="414142"/>
              <w:bottom w:val="outset" w:sz="6" w:space="0" w:color="414142"/>
              <w:right w:val="outset" w:sz="6" w:space="0" w:color="414142"/>
            </w:tcBorders>
            <w:hideMark/>
          </w:tcPr>
          <w:p w14:paraId="6D59AA65" w14:textId="77777777" w:rsidR="000A4751" w:rsidRPr="009147F5" w:rsidRDefault="000A4751">
            <w:pPr>
              <w:jc w:val="center"/>
            </w:pPr>
            <w:r w:rsidRPr="009147F5">
              <w:t>0</w:t>
            </w:r>
          </w:p>
        </w:tc>
        <w:tc>
          <w:tcPr>
            <w:tcW w:w="850" w:type="pct"/>
            <w:tcBorders>
              <w:top w:val="outset" w:sz="6" w:space="0" w:color="414142"/>
              <w:left w:val="outset" w:sz="6" w:space="0" w:color="414142"/>
              <w:bottom w:val="outset" w:sz="6" w:space="0" w:color="414142"/>
              <w:right w:val="outset" w:sz="6" w:space="0" w:color="414142"/>
            </w:tcBorders>
            <w:hideMark/>
          </w:tcPr>
          <w:p w14:paraId="23EAD65C"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032E5008"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22C0F6C2"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5FC73EA1" w14:textId="77777777" w:rsidR="000A4751" w:rsidRPr="009147F5" w:rsidRDefault="000A4751">
            <w:pPr>
              <w:jc w:val="center"/>
            </w:pPr>
            <w:r w:rsidRPr="009147F5">
              <w:t>0</w:t>
            </w:r>
          </w:p>
        </w:tc>
      </w:tr>
      <w:tr w:rsidR="009147F5" w:rsidRPr="009147F5" w14:paraId="15F25EB3"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324A4D4" w14:textId="77777777" w:rsidR="000A4751" w:rsidRPr="009147F5" w:rsidRDefault="000A4751">
            <w:r w:rsidRPr="009147F5">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FD413FC" w14:textId="77777777" w:rsidR="000A4751" w:rsidRPr="009147F5" w:rsidRDefault="000A4751">
            <w:pPr>
              <w:jc w:val="center"/>
            </w:pPr>
            <w:r w:rsidRPr="009147F5">
              <w:t>0</w:t>
            </w:r>
          </w:p>
        </w:tc>
        <w:tc>
          <w:tcPr>
            <w:tcW w:w="850" w:type="pct"/>
            <w:tcBorders>
              <w:top w:val="outset" w:sz="6" w:space="0" w:color="414142"/>
              <w:left w:val="outset" w:sz="6" w:space="0" w:color="414142"/>
              <w:bottom w:val="outset" w:sz="6" w:space="0" w:color="414142"/>
              <w:right w:val="outset" w:sz="6" w:space="0" w:color="414142"/>
            </w:tcBorders>
            <w:hideMark/>
          </w:tcPr>
          <w:p w14:paraId="760F8283"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4C0ED5DF"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702FB6A2"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717E50E5" w14:textId="77777777" w:rsidR="000A4751" w:rsidRPr="009147F5" w:rsidRDefault="000A4751">
            <w:pPr>
              <w:jc w:val="center"/>
            </w:pPr>
            <w:r w:rsidRPr="009147F5">
              <w:t>0</w:t>
            </w:r>
          </w:p>
        </w:tc>
      </w:tr>
      <w:tr w:rsidR="009147F5" w:rsidRPr="009147F5" w14:paraId="3F43A47C"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E27B619" w14:textId="77777777" w:rsidR="000A4751" w:rsidRPr="009147F5" w:rsidRDefault="000A4751">
            <w:r w:rsidRPr="009147F5">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248191FC" w14:textId="77777777" w:rsidR="000A4751" w:rsidRPr="009147F5" w:rsidRDefault="000A4751">
            <w:pPr>
              <w:jc w:val="center"/>
            </w:pPr>
            <w:r w:rsidRPr="009147F5">
              <w:t>0</w:t>
            </w:r>
          </w:p>
        </w:tc>
        <w:tc>
          <w:tcPr>
            <w:tcW w:w="850" w:type="pct"/>
            <w:tcBorders>
              <w:top w:val="outset" w:sz="6" w:space="0" w:color="414142"/>
              <w:left w:val="outset" w:sz="6" w:space="0" w:color="414142"/>
              <w:bottom w:val="outset" w:sz="6" w:space="0" w:color="414142"/>
              <w:right w:val="outset" w:sz="6" w:space="0" w:color="414142"/>
            </w:tcBorders>
            <w:hideMark/>
          </w:tcPr>
          <w:p w14:paraId="19CA2D2B"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7C337C12"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5E2BBA3F"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4E94D887" w14:textId="77777777" w:rsidR="000A4751" w:rsidRPr="009147F5" w:rsidRDefault="000A4751">
            <w:pPr>
              <w:jc w:val="center"/>
            </w:pPr>
            <w:r w:rsidRPr="009147F5">
              <w:t>0</w:t>
            </w:r>
          </w:p>
        </w:tc>
      </w:tr>
      <w:tr w:rsidR="009147F5" w:rsidRPr="009147F5" w14:paraId="623E40B8"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10A030A" w14:textId="77777777" w:rsidR="000A4751" w:rsidRPr="009147F5" w:rsidRDefault="000A4751">
            <w:r w:rsidRPr="009147F5">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8234FE1" w14:textId="77777777" w:rsidR="000A4751" w:rsidRPr="009147F5" w:rsidRDefault="000A4751">
            <w:pPr>
              <w:jc w:val="center"/>
            </w:pPr>
            <w:r w:rsidRPr="009147F5">
              <w:t>0</w:t>
            </w:r>
          </w:p>
        </w:tc>
        <w:tc>
          <w:tcPr>
            <w:tcW w:w="850" w:type="pct"/>
            <w:tcBorders>
              <w:top w:val="outset" w:sz="6" w:space="0" w:color="414142"/>
              <w:left w:val="outset" w:sz="6" w:space="0" w:color="414142"/>
              <w:bottom w:val="outset" w:sz="6" w:space="0" w:color="414142"/>
              <w:right w:val="outset" w:sz="6" w:space="0" w:color="414142"/>
            </w:tcBorders>
            <w:hideMark/>
          </w:tcPr>
          <w:p w14:paraId="1DBC3BE3"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59524270"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43CBADC3"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77D5DAF7" w14:textId="77777777" w:rsidR="000A4751" w:rsidRPr="009147F5" w:rsidRDefault="000A4751">
            <w:pPr>
              <w:jc w:val="center"/>
            </w:pPr>
            <w:r w:rsidRPr="009147F5">
              <w:t>0</w:t>
            </w:r>
          </w:p>
        </w:tc>
      </w:tr>
      <w:tr w:rsidR="009147F5" w:rsidRPr="009147F5" w14:paraId="0E156019" w14:textId="77777777" w:rsidTr="000A4751">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0945D0F4" w14:textId="77777777" w:rsidR="000A4751" w:rsidRPr="009147F5" w:rsidRDefault="000A4751">
            <w:r w:rsidRPr="009147F5">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566DC8A7" w14:textId="77777777" w:rsidR="000A4751" w:rsidRPr="009147F5" w:rsidRDefault="000A4751">
            <w:pPr>
              <w:spacing w:before="100" w:beforeAutospacing="1" w:after="100" w:afterAutospacing="1" w:line="293" w:lineRule="atLeast"/>
              <w:jc w:val="center"/>
            </w:pPr>
            <w:r w:rsidRPr="009147F5">
              <w:t>X</w:t>
            </w:r>
          </w:p>
        </w:tc>
        <w:tc>
          <w:tcPr>
            <w:tcW w:w="850" w:type="pct"/>
            <w:tcBorders>
              <w:top w:val="outset" w:sz="6" w:space="0" w:color="414142"/>
              <w:left w:val="outset" w:sz="6" w:space="0" w:color="414142"/>
              <w:bottom w:val="outset" w:sz="6" w:space="0" w:color="414142"/>
              <w:right w:val="outset" w:sz="6" w:space="0" w:color="414142"/>
            </w:tcBorders>
            <w:hideMark/>
          </w:tcPr>
          <w:p w14:paraId="4CB7885B" w14:textId="77777777" w:rsidR="000A4751" w:rsidRPr="009147F5" w:rsidRDefault="000A4751">
            <w:pPr>
              <w:rPr>
                <w:sz w:val="20"/>
                <w:szCs w:val="20"/>
              </w:rPr>
            </w:pPr>
          </w:p>
        </w:tc>
        <w:tc>
          <w:tcPr>
            <w:tcW w:w="600" w:type="pct"/>
            <w:tcBorders>
              <w:top w:val="outset" w:sz="6" w:space="0" w:color="414142"/>
              <w:left w:val="outset" w:sz="6" w:space="0" w:color="414142"/>
              <w:bottom w:val="outset" w:sz="6" w:space="0" w:color="414142"/>
              <w:right w:val="outset" w:sz="6" w:space="0" w:color="414142"/>
            </w:tcBorders>
            <w:hideMark/>
          </w:tcPr>
          <w:p w14:paraId="37F6F528" w14:textId="77777777" w:rsidR="000A4751" w:rsidRPr="009147F5" w:rsidRDefault="000A4751">
            <w:pPr>
              <w:rPr>
                <w:sz w:val="20"/>
                <w:szCs w:val="20"/>
              </w:rPr>
            </w:pPr>
          </w:p>
        </w:tc>
        <w:tc>
          <w:tcPr>
            <w:tcW w:w="650" w:type="pct"/>
            <w:tcBorders>
              <w:top w:val="outset" w:sz="6" w:space="0" w:color="414142"/>
              <w:left w:val="outset" w:sz="6" w:space="0" w:color="414142"/>
              <w:bottom w:val="outset" w:sz="6" w:space="0" w:color="414142"/>
              <w:right w:val="outset" w:sz="6" w:space="0" w:color="414142"/>
            </w:tcBorders>
            <w:hideMark/>
          </w:tcPr>
          <w:p w14:paraId="1827E12A" w14:textId="77777777" w:rsidR="000A4751" w:rsidRPr="009147F5" w:rsidRDefault="000A4751">
            <w:pPr>
              <w:rPr>
                <w:sz w:val="20"/>
                <w:szCs w:val="20"/>
              </w:rPr>
            </w:pPr>
          </w:p>
        </w:tc>
        <w:tc>
          <w:tcPr>
            <w:tcW w:w="550" w:type="pct"/>
            <w:tcBorders>
              <w:top w:val="outset" w:sz="6" w:space="0" w:color="414142"/>
              <w:left w:val="outset" w:sz="6" w:space="0" w:color="414142"/>
              <w:bottom w:val="outset" w:sz="6" w:space="0" w:color="414142"/>
              <w:right w:val="outset" w:sz="6" w:space="0" w:color="414142"/>
            </w:tcBorders>
            <w:hideMark/>
          </w:tcPr>
          <w:p w14:paraId="4CF5D5BC" w14:textId="77777777" w:rsidR="000A4751" w:rsidRPr="009147F5" w:rsidRDefault="000A4751">
            <w:pPr>
              <w:rPr>
                <w:sz w:val="20"/>
                <w:szCs w:val="20"/>
              </w:rPr>
            </w:pPr>
          </w:p>
        </w:tc>
      </w:tr>
      <w:tr w:rsidR="009147F5" w:rsidRPr="009147F5" w14:paraId="3943F182" w14:textId="77777777" w:rsidTr="000A475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14478B" w14:textId="77777777" w:rsidR="000A4751" w:rsidRPr="009147F5" w:rsidRDefault="000A4751"/>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6097CA2" w14:textId="77777777" w:rsidR="000A4751" w:rsidRPr="009147F5" w:rsidRDefault="000A4751"/>
        </w:tc>
        <w:tc>
          <w:tcPr>
            <w:tcW w:w="850" w:type="pct"/>
            <w:tcBorders>
              <w:top w:val="outset" w:sz="6" w:space="0" w:color="414142"/>
              <w:left w:val="outset" w:sz="6" w:space="0" w:color="414142"/>
              <w:bottom w:val="outset" w:sz="6" w:space="0" w:color="414142"/>
              <w:right w:val="outset" w:sz="6" w:space="0" w:color="414142"/>
            </w:tcBorders>
            <w:hideMark/>
          </w:tcPr>
          <w:p w14:paraId="44FF2439" w14:textId="77777777" w:rsidR="000A4751" w:rsidRPr="009147F5" w:rsidRDefault="000A4751">
            <w:pPr>
              <w:rPr>
                <w:sz w:val="20"/>
                <w:szCs w:val="20"/>
              </w:rPr>
            </w:pPr>
          </w:p>
        </w:tc>
        <w:tc>
          <w:tcPr>
            <w:tcW w:w="600" w:type="pct"/>
            <w:tcBorders>
              <w:top w:val="outset" w:sz="6" w:space="0" w:color="414142"/>
              <w:left w:val="outset" w:sz="6" w:space="0" w:color="414142"/>
              <w:bottom w:val="outset" w:sz="6" w:space="0" w:color="414142"/>
              <w:right w:val="outset" w:sz="6" w:space="0" w:color="414142"/>
            </w:tcBorders>
            <w:hideMark/>
          </w:tcPr>
          <w:p w14:paraId="0B1D8297" w14:textId="77777777" w:rsidR="000A4751" w:rsidRPr="009147F5" w:rsidRDefault="000A4751">
            <w:pPr>
              <w:rPr>
                <w:sz w:val="20"/>
                <w:szCs w:val="20"/>
              </w:rPr>
            </w:pPr>
          </w:p>
        </w:tc>
        <w:tc>
          <w:tcPr>
            <w:tcW w:w="650" w:type="pct"/>
            <w:tcBorders>
              <w:top w:val="outset" w:sz="6" w:space="0" w:color="414142"/>
              <w:left w:val="outset" w:sz="6" w:space="0" w:color="414142"/>
              <w:bottom w:val="outset" w:sz="6" w:space="0" w:color="414142"/>
              <w:right w:val="outset" w:sz="6" w:space="0" w:color="414142"/>
            </w:tcBorders>
            <w:hideMark/>
          </w:tcPr>
          <w:p w14:paraId="06279335" w14:textId="77777777" w:rsidR="000A4751" w:rsidRPr="009147F5" w:rsidRDefault="000A4751">
            <w:pPr>
              <w:rPr>
                <w:sz w:val="20"/>
                <w:szCs w:val="20"/>
              </w:rPr>
            </w:pPr>
          </w:p>
        </w:tc>
        <w:tc>
          <w:tcPr>
            <w:tcW w:w="550" w:type="pct"/>
            <w:tcBorders>
              <w:top w:val="outset" w:sz="6" w:space="0" w:color="414142"/>
              <w:left w:val="outset" w:sz="6" w:space="0" w:color="414142"/>
              <w:bottom w:val="outset" w:sz="6" w:space="0" w:color="414142"/>
              <w:right w:val="outset" w:sz="6" w:space="0" w:color="414142"/>
            </w:tcBorders>
            <w:hideMark/>
          </w:tcPr>
          <w:p w14:paraId="3746FC25" w14:textId="77777777" w:rsidR="000A4751" w:rsidRPr="009147F5" w:rsidRDefault="000A4751">
            <w:pPr>
              <w:rPr>
                <w:sz w:val="20"/>
                <w:szCs w:val="20"/>
              </w:rPr>
            </w:pPr>
          </w:p>
        </w:tc>
      </w:tr>
      <w:tr w:rsidR="009147F5" w:rsidRPr="009147F5" w14:paraId="11273716" w14:textId="77777777" w:rsidTr="000A475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94C870" w14:textId="77777777" w:rsidR="000A4751" w:rsidRPr="009147F5" w:rsidRDefault="000A4751"/>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DA6414" w14:textId="77777777" w:rsidR="000A4751" w:rsidRPr="009147F5" w:rsidRDefault="000A4751"/>
        </w:tc>
        <w:tc>
          <w:tcPr>
            <w:tcW w:w="850" w:type="pct"/>
            <w:tcBorders>
              <w:top w:val="outset" w:sz="6" w:space="0" w:color="414142"/>
              <w:left w:val="outset" w:sz="6" w:space="0" w:color="414142"/>
              <w:bottom w:val="outset" w:sz="6" w:space="0" w:color="414142"/>
              <w:right w:val="outset" w:sz="6" w:space="0" w:color="414142"/>
            </w:tcBorders>
            <w:hideMark/>
          </w:tcPr>
          <w:p w14:paraId="513E229D"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57C2C896"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6695FD61"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232658BE" w14:textId="77777777" w:rsidR="000A4751" w:rsidRPr="009147F5" w:rsidRDefault="000A4751">
            <w:pPr>
              <w:jc w:val="center"/>
            </w:pPr>
            <w:r w:rsidRPr="009147F5">
              <w:t>0</w:t>
            </w:r>
          </w:p>
        </w:tc>
      </w:tr>
      <w:tr w:rsidR="009147F5" w:rsidRPr="009147F5" w14:paraId="4D9930E9"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878F41A" w14:textId="77777777" w:rsidR="000A4751" w:rsidRPr="009147F5" w:rsidRDefault="000A4751">
            <w:r w:rsidRPr="009147F5">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3394A42" w14:textId="77777777" w:rsidR="000A4751" w:rsidRPr="009147F5" w:rsidRDefault="000A4751">
            <w:pPr>
              <w:spacing w:before="100" w:beforeAutospacing="1" w:after="100" w:afterAutospacing="1" w:line="293" w:lineRule="atLeast"/>
              <w:jc w:val="center"/>
            </w:pPr>
            <w:r w:rsidRPr="009147F5">
              <w:t>X</w:t>
            </w:r>
          </w:p>
        </w:tc>
        <w:tc>
          <w:tcPr>
            <w:tcW w:w="850" w:type="pct"/>
            <w:tcBorders>
              <w:top w:val="outset" w:sz="6" w:space="0" w:color="414142"/>
              <w:left w:val="outset" w:sz="6" w:space="0" w:color="414142"/>
              <w:bottom w:val="outset" w:sz="6" w:space="0" w:color="414142"/>
              <w:right w:val="outset" w:sz="6" w:space="0" w:color="414142"/>
            </w:tcBorders>
            <w:hideMark/>
          </w:tcPr>
          <w:p w14:paraId="07E2A464"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1CC93EB6"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6F77904D"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58E7BF0D" w14:textId="77777777" w:rsidR="000A4751" w:rsidRPr="009147F5" w:rsidRDefault="000A4751">
            <w:pPr>
              <w:jc w:val="center"/>
            </w:pPr>
            <w:r w:rsidRPr="009147F5">
              <w:t>0</w:t>
            </w:r>
          </w:p>
        </w:tc>
      </w:tr>
      <w:tr w:rsidR="009147F5" w:rsidRPr="009147F5" w14:paraId="1C48ACD6"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8F636A9" w14:textId="77777777" w:rsidR="000A4751" w:rsidRPr="009147F5" w:rsidRDefault="000A4751">
            <w:r w:rsidRPr="009147F5">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9BA6F7" w14:textId="77777777" w:rsidR="000A4751" w:rsidRPr="009147F5" w:rsidRDefault="000A4751"/>
        </w:tc>
        <w:tc>
          <w:tcPr>
            <w:tcW w:w="850" w:type="pct"/>
            <w:tcBorders>
              <w:top w:val="outset" w:sz="6" w:space="0" w:color="414142"/>
              <w:left w:val="outset" w:sz="6" w:space="0" w:color="414142"/>
              <w:bottom w:val="outset" w:sz="6" w:space="0" w:color="414142"/>
              <w:right w:val="outset" w:sz="6" w:space="0" w:color="414142"/>
            </w:tcBorders>
            <w:hideMark/>
          </w:tcPr>
          <w:p w14:paraId="36614D10"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4DD637E7"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2E2B71A2"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53B33016" w14:textId="77777777" w:rsidR="000A4751" w:rsidRPr="009147F5" w:rsidRDefault="000A4751">
            <w:pPr>
              <w:jc w:val="center"/>
            </w:pPr>
            <w:r w:rsidRPr="009147F5">
              <w:t>0</w:t>
            </w:r>
          </w:p>
        </w:tc>
      </w:tr>
      <w:tr w:rsidR="009147F5" w:rsidRPr="009147F5" w14:paraId="1D707225"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B1B5659" w14:textId="77777777" w:rsidR="000A4751" w:rsidRPr="009147F5" w:rsidRDefault="000A4751">
            <w:r w:rsidRPr="009147F5">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CC6E8B" w14:textId="77777777" w:rsidR="000A4751" w:rsidRPr="009147F5" w:rsidRDefault="000A4751"/>
        </w:tc>
        <w:tc>
          <w:tcPr>
            <w:tcW w:w="850" w:type="pct"/>
            <w:tcBorders>
              <w:top w:val="outset" w:sz="6" w:space="0" w:color="414142"/>
              <w:left w:val="outset" w:sz="6" w:space="0" w:color="414142"/>
              <w:bottom w:val="outset" w:sz="6" w:space="0" w:color="414142"/>
              <w:right w:val="outset" w:sz="6" w:space="0" w:color="414142"/>
            </w:tcBorders>
            <w:hideMark/>
          </w:tcPr>
          <w:p w14:paraId="07B9BF03"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7BE19ADF"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18FF537A"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1632298B" w14:textId="77777777" w:rsidR="000A4751" w:rsidRPr="009147F5" w:rsidRDefault="000A4751">
            <w:pPr>
              <w:jc w:val="center"/>
            </w:pPr>
            <w:r w:rsidRPr="009147F5">
              <w:t>0</w:t>
            </w:r>
          </w:p>
        </w:tc>
      </w:tr>
      <w:tr w:rsidR="009147F5" w:rsidRPr="009147F5" w14:paraId="1BC53F44"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DD7B534" w14:textId="77777777" w:rsidR="000A4751" w:rsidRPr="009147F5" w:rsidRDefault="000A4751">
            <w:r w:rsidRPr="009147F5">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4F7BD5" w14:textId="77777777" w:rsidR="000A4751" w:rsidRPr="009147F5" w:rsidRDefault="000A4751"/>
        </w:tc>
        <w:tc>
          <w:tcPr>
            <w:tcW w:w="850" w:type="pct"/>
            <w:tcBorders>
              <w:top w:val="outset" w:sz="6" w:space="0" w:color="414142"/>
              <w:left w:val="outset" w:sz="6" w:space="0" w:color="414142"/>
              <w:bottom w:val="outset" w:sz="6" w:space="0" w:color="414142"/>
              <w:right w:val="outset" w:sz="6" w:space="0" w:color="414142"/>
            </w:tcBorders>
            <w:hideMark/>
          </w:tcPr>
          <w:p w14:paraId="1F4E829B" w14:textId="77777777" w:rsidR="000A4751" w:rsidRPr="009147F5" w:rsidRDefault="000A4751">
            <w:pPr>
              <w:jc w:val="center"/>
            </w:pPr>
            <w:r w:rsidRPr="009147F5">
              <w:t>0</w:t>
            </w:r>
          </w:p>
        </w:tc>
        <w:tc>
          <w:tcPr>
            <w:tcW w:w="600" w:type="pct"/>
            <w:tcBorders>
              <w:top w:val="outset" w:sz="6" w:space="0" w:color="414142"/>
              <w:left w:val="outset" w:sz="6" w:space="0" w:color="414142"/>
              <w:bottom w:val="outset" w:sz="6" w:space="0" w:color="414142"/>
              <w:right w:val="outset" w:sz="6" w:space="0" w:color="414142"/>
            </w:tcBorders>
            <w:hideMark/>
          </w:tcPr>
          <w:p w14:paraId="21F54130" w14:textId="77777777" w:rsidR="000A4751" w:rsidRPr="009147F5" w:rsidRDefault="000A4751">
            <w:pPr>
              <w:jc w:val="center"/>
            </w:pPr>
            <w:r w:rsidRPr="009147F5">
              <w:t>0</w:t>
            </w:r>
          </w:p>
        </w:tc>
        <w:tc>
          <w:tcPr>
            <w:tcW w:w="650" w:type="pct"/>
            <w:tcBorders>
              <w:top w:val="outset" w:sz="6" w:space="0" w:color="414142"/>
              <w:left w:val="outset" w:sz="6" w:space="0" w:color="414142"/>
              <w:bottom w:val="outset" w:sz="6" w:space="0" w:color="414142"/>
              <w:right w:val="outset" w:sz="6" w:space="0" w:color="414142"/>
            </w:tcBorders>
            <w:hideMark/>
          </w:tcPr>
          <w:p w14:paraId="58D28FD9" w14:textId="77777777" w:rsidR="000A4751" w:rsidRPr="009147F5" w:rsidRDefault="000A4751">
            <w:pPr>
              <w:jc w:val="center"/>
            </w:pPr>
            <w:r w:rsidRPr="009147F5">
              <w:t>0</w:t>
            </w:r>
          </w:p>
        </w:tc>
        <w:tc>
          <w:tcPr>
            <w:tcW w:w="550" w:type="pct"/>
            <w:tcBorders>
              <w:top w:val="outset" w:sz="6" w:space="0" w:color="414142"/>
              <w:left w:val="outset" w:sz="6" w:space="0" w:color="414142"/>
              <w:bottom w:val="outset" w:sz="6" w:space="0" w:color="414142"/>
              <w:right w:val="outset" w:sz="6" w:space="0" w:color="414142"/>
            </w:tcBorders>
            <w:hideMark/>
          </w:tcPr>
          <w:p w14:paraId="20E567A1" w14:textId="77777777" w:rsidR="000A4751" w:rsidRPr="009147F5" w:rsidRDefault="000A4751">
            <w:pPr>
              <w:jc w:val="center"/>
            </w:pPr>
            <w:r w:rsidRPr="009147F5">
              <w:t>0</w:t>
            </w:r>
          </w:p>
        </w:tc>
      </w:tr>
      <w:tr w:rsidR="009147F5" w:rsidRPr="009147F5" w14:paraId="5040ABC0"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918DAE2" w14:textId="77777777" w:rsidR="000A4751" w:rsidRPr="009147F5" w:rsidRDefault="000A4751">
            <w:r w:rsidRPr="009147F5">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tcPr>
          <w:p w14:paraId="4991FF5F" w14:textId="4045D7B3" w:rsidR="000A4751" w:rsidRPr="009147F5" w:rsidRDefault="000A4751">
            <w:pPr>
              <w:pStyle w:val="cipari"/>
              <w:spacing w:after="120"/>
              <w:ind w:left="8" w:hanging="8"/>
              <w:jc w:val="both"/>
              <w:rPr>
                <w:sz w:val="24"/>
                <w:szCs w:val="24"/>
              </w:rPr>
            </w:pPr>
            <w:r w:rsidRPr="009147F5">
              <w:rPr>
                <w:sz w:val="24"/>
                <w:szCs w:val="24"/>
              </w:rPr>
              <w:t xml:space="preserve">Likumā „Par valsts budžetu 2017.gadam” Labklājības ministrijas pamatbudžeta apakšprogrammā 97.01.00 „Labklājības nozares vadība un politikas plānošana” ERAF projekta “Sociālās politikas monitoringa pilnveide – SPP vienotās informācijas sistēmas izstrāde, ieviešana un e-pakalpojumu attīstīšana” ietvaros veikto kapitālieguldījumu uzturēšanas izdevumu segšanai plānoti līdzekļi 128 129 </w:t>
            </w:r>
            <w:proofErr w:type="spellStart"/>
            <w:r w:rsidRPr="009B2A18">
              <w:rPr>
                <w:i/>
                <w:sz w:val="24"/>
                <w:szCs w:val="24"/>
              </w:rPr>
              <w:t>euro</w:t>
            </w:r>
            <w:proofErr w:type="spellEnd"/>
            <w:r w:rsidRPr="009147F5">
              <w:rPr>
                <w:sz w:val="24"/>
                <w:szCs w:val="24"/>
              </w:rPr>
              <w:t xml:space="preserve"> apmērā, t.sk. atbilstoši Ministru kabineta 2013. gada 19.marta sēdes protokola Nr.15 58.§ 16.1.apakšpunktam 38 417 </w:t>
            </w:r>
            <w:proofErr w:type="spellStart"/>
            <w:r w:rsidRPr="009B2A18">
              <w:rPr>
                <w:i/>
                <w:sz w:val="24"/>
                <w:szCs w:val="24"/>
              </w:rPr>
              <w:t>euro</w:t>
            </w:r>
            <w:proofErr w:type="spellEnd"/>
            <w:r w:rsidRPr="009147F5">
              <w:rPr>
                <w:sz w:val="24"/>
                <w:szCs w:val="24"/>
              </w:rPr>
              <w:t xml:space="preserve"> apmērā informācijas sistēmas SPOLIS uzturēšanai un atbilstoši Ministru kabineta 2016.gada 2.augusta sēdes protokola Nr.38 47.§ 10.1. apakšpunktam 2017.gadā 37 485 </w:t>
            </w:r>
            <w:proofErr w:type="spellStart"/>
            <w:r w:rsidRPr="009B2A18">
              <w:rPr>
                <w:i/>
                <w:sz w:val="24"/>
                <w:szCs w:val="24"/>
              </w:rPr>
              <w:t>euro</w:t>
            </w:r>
            <w:proofErr w:type="spellEnd"/>
            <w:r w:rsidRPr="009147F5">
              <w:rPr>
                <w:sz w:val="24"/>
                <w:szCs w:val="24"/>
              </w:rPr>
              <w:t xml:space="preserve"> apmērā informācijas sistēmas SPOLIS uzturēšanai un 52 227euro apmērā SOPA, LIETIS un GVS sistēmu uzturēšanai (sarežģītu datu kļūdu labojumi, sistēmas kļūdu novēršana, ārējo izstrādātāju konsultācijas, sistēmu uzlabojumi saistībā ar normatīvā regulējuma izmaiņām).</w:t>
            </w:r>
          </w:p>
          <w:p w14:paraId="00FEAF51" w14:textId="77777777" w:rsidR="000A4751" w:rsidRPr="009147F5" w:rsidRDefault="000A4751">
            <w:pPr>
              <w:jc w:val="both"/>
            </w:pPr>
            <w:r w:rsidRPr="009147F5">
              <w:t xml:space="preserve">Lai ieviestu normatīvā regulējuma izmaiņas informācijas sistēmās, kas ir iesaistītas valsts statistikas pārskatu datu apstrādē, pārskatu ģenerēšanā un konsolidēšanā, ir nepieciešams pasūtīt ārpakalpojumu līgumu ietvaros šādus darbus: </w:t>
            </w:r>
          </w:p>
          <w:p w14:paraId="459854B2" w14:textId="77777777" w:rsidR="000A4751" w:rsidRPr="009147F5" w:rsidRDefault="000A4751">
            <w:pPr>
              <w:jc w:val="both"/>
            </w:pPr>
            <w:r w:rsidRPr="009147F5">
              <w:t xml:space="preserve">1) Valsts sociālās politikas monitoringa informācijas sistēmai (SPOLIS) izmaiņu pieprasījuma vajadzību definēšana, programmēšanas darbu izstrāde, testēšana, ieviešana produkcijā – kopā 100 cilvēkstundas (100 X 42,50* </w:t>
            </w:r>
            <w:r w:rsidRPr="009B2A18">
              <w:rPr>
                <w:i/>
              </w:rPr>
              <w:t>EUR</w:t>
            </w:r>
            <w:r w:rsidRPr="009147F5">
              <w:t xml:space="preserve"> =     </w:t>
            </w:r>
            <w:r w:rsidRPr="009147F5">
              <w:rPr>
                <w:b/>
              </w:rPr>
              <w:lastRenderedPageBreak/>
              <w:t xml:space="preserve">4 250 </w:t>
            </w:r>
            <w:r w:rsidRPr="009B2A18">
              <w:rPr>
                <w:b/>
                <w:i/>
              </w:rPr>
              <w:t>EUR</w:t>
            </w:r>
            <w:r w:rsidRPr="009147F5">
              <w:rPr>
                <w:b/>
              </w:rPr>
              <w:t xml:space="preserve"> (ar PVN)</w:t>
            </w:r>
            <w:r w:rsidRPr="009147F5">
              <w:t xml:space="preserve">; </w:t>
            </w:r>
          </w:p>
          <w:p w14:paraId="7FF61930" w14:textId="77777777" w:rsidR="000A4751" w:rsidRPr="009147F5" w:rsidRDefault="000A4751">
            <w:pPr>
              <w:jc w:val="both"/>
            </w:pPr>
            <w:r w:rsidRPr="009147F5">
              <w:t xml:space="preserve">2) Pašvaldību lietojumprogrammas SOPA funkcionalitātes izmaiņām (maznodrošinātā statusa datu izrēķināšana no SOPA datu bāzes un atskaišu Excel tabulas papildināšana mēneša pārskatā, mēneša atskaites formas un atskaišu izrēķināto datu tabulas papildināšana ar jaunajiem parametriem; maznodrošinātā statusa datu izrēķināšana no SOPA datu bāzes un atskaišu Excel tabulas papildināšana gada pārskatā; SOPA mēneša un gada pārskatu lietotāju instrukcijas papildināšana; izstrādāto papildinājumu uzstādīšana uz visiem pašvaldību SOPA serveriem) – kopā 100 cilvēkstundas (40 X 69,00* </w:t>
            </w:r>
            <w:r w:rsidRPr="009B2A18">
              <w:rPr>
                <w:i/>
              </w:rPr>
              <w:t>EUR</w:t>
            </w:r>
            <w:r w:rsidRPr="009147F5">
              <w:t xml:space="preserve"> = </w:t>
            </w:r>
            <w:r w:rsidRPr="009147F5">
              <w:rPr>
                <w:b/>
              </w:rPr>
              <w:t xml:space="preserve">2 760 </w:t>
            </w:r>
            <w:r w:rsidRPr="009B2A18">
              <w:rPr>
                <w:b/>
                <w:i/>
              </w:rPr>
              <w:t>EUR</w:t>
            </w:r>
            <w:r w:rsidRPr="009147F5">
              <w:rPr>
                <w:b/>
              </w:rPr>
              <w:t xml:space="preserve"> (ar PVN).</w:t>
            </w:r>
            <w:r w:rsidRPr="009147F5">
              <w:t xml:space="preserve"> *SPOLIS izstrādei vidējā cena IS izstrādes ārpakalpojumam nozarē, SOPA izstrādes aprēķinam ņemta spēkā esošā 2017.gada 15.februārī noslēgtā sistēmas uzturēšanas līguma Nr.LM2017/24-1-05/06 ar SIA “ZZ </w:t>
            </w:r>
            <w:proofErr w:type="spellStart"/>
            <w:r w:rsidRPr="009147F5">
              <w:t>Dats</w:t>
            </w:r>
            <w:proofErr w:type="spellEnd"/>
            <w:r w:rsidRPr="009147F5">
              <w:t>” cilvēkstundas cena.</w:t>
            </w:r>
          </w:p>
          <w:p w14:paraId="1F313AA7" w14:textId="77777777" w:rsidR="000A4751" w:rsidRPr="009147F5" w:rsidRDefault="000A4751">
            <w:pPr>
              <w:jc w:val="both"/>
            </w:pPr>
          </w:p>
          <w:p w14:paraId="3EA3E804" w14:textId="77777777" w:rsidR="000A4751" w:rsidRPr="009147F5" w:rsidRDefault="000A4751">
            <w:pPr>
              <w:jc w:val="both"/>
            </w:pPr>
            <w:r w:rsidRPr="009147F5">
              <w:t xml:space="preserve">Kopējās izmaksas Valsts sociālās politikas monitoringa informācijas sistēmas (SPOLIS) un Pašvaldību lietojumprogrammas SOPA funkcionalitātes izmaiņu nodrošināšanai veido </w:t>
            </w:r>
            <w:r w:rsidRPr="009147F5">
              <w:rPr>
                <w:b/>
              </w:rPr>
              <w:t xml:space="preserve">7 010 </w:t>
            </w:r>
            <w:r w:rsidRPr="009B2A18">
              <w:rPr>
                <w:b/>
                <w:i/>
              </w:rPr>
              <w:t>EUR</w:t>
            </w:r>
            <w:r w:rsidRPr="009147F5">
              <w:rPr>
                <w:b/>
              </w:rPr>
              <w:t xml:space="preserve"> (ar PVN)</w:t>
            </w:r>
            <w:r w:rsidRPr="009147F5">
              <w:t xml:space="preserve"> apmērā.</w:t>
            </w:r>
          </w:p>
          <w:p w14:paraId="3108C901" w14:textId="77777777" w:rsidR="000A4751" w:rsidRPr="009147F5" w:rsidRDefault="000A4751">
            <w:pPr>
              <w:jc w:val="both"/>
            </w:pPr>
          </w:p>
          <w:p w14:paraId="39140641" w14:textId="1ACCBC8E" w:rsidR="000A4751" w:rsidRPr="009147F5" w:rsidRDefault="000A4751">
            <w:pPr>
              <w:jc w:val="both"/>
            </w:pPr>
            <w:r w:rsidRPr="009147F5">
              <w:t xml:space="preserve">Noteikumu projektā ietverto pasākumu īstenošana 2017.gadā </w:t>
            </w:r>
            <w:r w:rsidR="004146F1">
              <w:t xml:space="preserve">un turpmākajos gados </w:t>
            </w:r>
            <w:r w:rsidRPr="009147F5">
              <w:t xml:space="preserve">tiks nodrošināta piešķirto valsts budžeta līdzekļu ietvaros. </w:t>
            </w:r>
          </w:p>
        </w:tc>
      </w:tr>
      <w:tr w:rsidR="009147F5" w:rsidRPr="009147F5" w14:paraId="45104151"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C09D12B" w14:textId="77777777" w:rsidR="000A4751" w:rsidRPr="009147F5" w:rsidRDefault="000A4751">
            <w:r w:rsidRPr="009147F5">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FAA5873" w14:textId="77777777" w:rsidR="000A4751" w:rsidRPr="009147F5" w:rsidRDefault="000A4751"/>
        </w:tc>
      </w:tr>
      <w:tr w:rsidR="009147F5" w:rsidRPr="009147F5" w14:paraId="2D51857D" w14:textId="77777777" w:rsidTr="000A475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BA69EEA" w14:textId="77777777" w:rsidR="000A4751" w:rsidRPr="009147F5" w:rsidRDefault="000A4751">
            <w:r w:rsidRPr="009147F5">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22B2C5B" w14:textId="77777777" w:rsidR="000A4751" w:rsidRPr="009147F5" w:rsidRDefault="000A4751"/>
        </w:tc>
      </w:tr>
      <w:tr w:rsidR="009147F5" w:rsidRPr="009147F5" w14:paraId="76DEEA27" w14:textId="77777777" w:rsidTr="000A4751">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2B7ACB80" w14:textId="77777777" w:rsidR="000A4751" w:rsidRPr="009147F5" w:rsidRDefault="000A4751">
            <w:r w:rsidRPr="009147F5">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20DDC518" w14:textId="2581624F" w:rsidR="000A4751" w:rsidRPr="009147F5" w:rsidRDefault="000A4751">
            <w:pPr>
              <w:jc w:val="both"/>
            </w:pPr>
            <w:r w:rsidRPr="009147F5">
              <w:t xml:space="preserve">Noteikumu projektā ietverto pasākumu īstenošana 2017.gadā </w:t>
            </w:r>
            <w:r w:rsidR="00AE5E65">
              <w:t xml:space="preserve">un turpmākajos gados </w:t>
            </w:r>
            <w:r w:rsidRPr="009147F5">
              <w:t>tiks nodrošināta apakšprogrammas 97.01.00 „Labklājības nozares vadība un politikas plānošana” piešķirto valsts budžeta līdzekļu ietvaros.</w:t>
            </w:r>
          </w:p>
        </w:tc>
      </w:tr>
    </w:tbl>
    <w:p w14:paraId="7936102C" w14:textId="77777777" w:rsidR="00FF50CB" w:rsidRDefault="00FF50CB" w:rsidP="00B76D85">
      <w:pPr>
        <w:jc w:val="center"/>
      </w:pPr>
    </w:p>
    <w:p w14:paraId="22340D49" w14:textId="77777777" w:rsidR="000A4751" w:rsidRDefault="000A4751" w:rsidP="00B76D85">
      <w:pPr>
        <w:jc w:val="center"/>
      </w:pPr>
    </w:p>
    <w:p w14:paraId="41EE6816" w14:textId="77777777" w:rsidR="000A4751" w:rsidRPr="0010078B" w:rsidRDefault="000A4751"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0078B" w:rsidRPr="0010078B" w14:paraId="60AE380B" w14:textId="77777777" w:rsidTr="006A7D0B">
        <w:tc>
          <w:tcPr>
            <w:tcW w:w="9287" w:type="dxa"/>
            <w:gridSpan w:val="3"/>
            <w:shd w:val="clear" w:color="auto" w:fill="auto"/>
          </w:tcPr>
          <w:p w14:paraId="2A177347" w14:textId="77777777" w:rsidR="00B76D85" w:rsidRPr="0010078B" w:rsidRDefault="00043389" w:rsidP="006A7D0B">
            <w:pPr>
              <w:jc w:val="center"/>
              <w:rPr>
                <w:b/>
              </w:rPr>
            </w:pPr>
            <w:r w:rsidRPr="0010078B">
              <w:rPr>
                <w:b/>
              </w:rPr>
              <w:t>VI</w:t>
            </w:r>
            <w:r w:rsidR="00DC37D9" w:rsidRPr="0010078B">
              <w:rPr>
                <w:b/>
              </w:rPr>
              <w:t>.</w:t>
            </w:r>
            <w:r w:rsidRPr="0010078B">
              <w:rPr>
                <w:b/>
              </w:rPr>
              <w:t xml:space="preserve"> Sabiedrības līdzdalība un </w:t>
            </w:r>
            <w:r w:rsidR="00BB50B2" w:rsidRPr="0010078B">
              <w:rPr>
                <w:b/>
              </w:rPr>
              <w:t>komunikācijas aktivitātes</w:t>
            </w:r>
          </w:p>
        </w:tc>
      </w:tr>
      <w:tr w:rsidR="00E12049" w:rsidRPr="0010078B" w14:paraId="67EA2EF6" w14:textId="77777777" w:rsidTr="006A7D0B">
        <w:tc>
          <w:tcPr>
            <w:tcW w:w="396" w:type="dxa"/>
            <w:shd w:val="clear" w:color="auto" w:fill="auto"/>
          </w:tcPr>
          <w:p w14:paraId="16A8E241" w14:textId="77777777" w:rsidR="00E12049" w:rsidRPr="0010078B" w:rsidRDefault="00E12049" w:rsidP="00E12049">
            <w:r w:rsidRPr="0010078B">
              <w:t xml:space="preserve">1. </w:t>
            </w:r>
          </w:p>
        </w:tc>
        <w:tc>
          <w:tcPr>
            <w:tcW w:w="3072" w:type="dxa"/>
            <w:shd w:val="clear" w:color="auto" w:fill="auto"/>
          </w:tcPr>
          <w:p w14:paraId="67FC8C70" w14:textId="77777777" w:rsidR="00E12049" w:rsidRPr="0010078B" w:rsidRDefault="00E12049" w:rsidP="00E12049">
            <w:pPr>
              <w:pStyle w:val="naiskr"/>
              <w:spacing w:before="0" w:after="0"/>
              <w:ind w:left="57" w:right="57"/>
              <w:rPr>
                <w:sz w:val="22"/>
                <w:szCs w:val="22"/>
              </w:rPr>
            </w:pPr>
            <w:r w:rsidRPr="0010078B">
              <w:t>Plānotās sabiedrības līdzdalības un komunikācijas aktivitātes saistībā ar projektu</w:t>
            </w:r>
          </w:p>
        </w:tc>
        <w:tc>
          <w:tcPr>
            <w:tcW w:w="5819" w:type="dxa"/>
            <w:shd w:val="clear" w:color="auto" w:fill="auto"/>
          </w:tcPr>
          <w:p w14:paraId="5EA480B3" w14:textId="4A8B30FC" w:rsidR="00E12049" w:rsidRPr="0010078B" w:rsidRDefault="00E12049" w:rsidP="00E12049">
            <w:pPr>
              <w:jc w:val="both"/>
            </w:pPr>
            <w:r>
              <w:rPr>
                <w:color w:val="000000" w:themeColor="text1"/>
              </w:rPr>
              <w:t>S</w:t>
            </w:r>
            <w:r w:rsidRPr="004C315E">
              <w:rPr>
                <w:color w:val="000000" w:themeColor="text1"/>
              </w:rPr>
              <w:t xml:space="preserve">abiedrības pārstāvji </w:t>
            </w:r>
            <w:r>
              <w:rPr>
                <w:color w:val="000000" w:themeColor="text1"/>
              </w:rPr>
              <w:t xml:space="preserve">ir informēti, ka </w:t>
            </w:r>
            <w:r w:rsidRPr="004C315E">
              <w:rPr>
                <w:color w:val="000000" w:themeColor="text1"/>
              </w:rPr>
              <w:t>var</w:t>
            </w:r>
            <w:r>
              <w:rPr>
                <w:color w:val="000000" w:themeColor="text1"/>
              </w:rPr>
              <w:t>ēja</w:t>
            </w:r>
            <w:r w:rsidRPr="004C315E">
              <w:rPr>
                <w:color w:val="000000" w:themeColor="text1"/>
              </w:rPr>
              <w:t xml:space="preserve"> rakstiski sniegt viedokli par </w:t>
            </w:r>
            <w:r>
              <w:rPr>
                <w:color w:val="000000" w:themeColor="text1"/>
              </w:rPr>
              <w:t>noteikumu projektu</w:t>
            </w:r>
            <w:r w:rsidRPr="004C315E">
              <w:rPr>
                <w:color w:val="000000" w:themeColor="text1"/>
              </w:rPr>
              <w:t xml:space="preserve"> tā izstrādes stadijā</w:t>
            </w:r>
            <w:r>
              <w:rPr>
                <w:color w:val="000000" w:themeColor="text1"/>
              </w:rPr>
              <w:t>.</w:t>
            </w:r>
          </w:p>
        </w:tc>
      </w:tr>
      <w:tr w:rsidR="00E12049" w:rsidRPr="0010078B" w14:paraId="42E7D046" w14:textId="77777777" w:rsidTr="006A7D0B">
        <w:tc>
          <w:tcPr>
            <w:tcW w:w="396" w:type="dxa"/>
            <w:shd w:val="clear" w:color="auto" w:fill="auto"/>
          </w:tcPr>
          <w:p w14:paraId="1E188EB4" w14:textId="77777777" w:rsidR="00E12049" w:rsidRPr="0010078B" w:rsidRDefault="00E12049" w:rsidP="00E12049">
            <w:r w:rsidRPr="0010078B">
              <w:t xml:space="preserve">2. </w:t>
            </w:r>
          </w:p>
        </w:tc>
        <w:tc>
          <w:tcPr>
            <w:tcW w:w="3072" w:type="dxa"/>
            <w:shd w:val="clear" w:color="auto" w:fill="auto"/>
          </w:tcPr>
          <w:p w14:paraId="2F27421E" w14:textId="77777777" w:rsidR="00E12049" w:rsidRPr="0010078B" w:rsidRDefault="00E12049" w:rsidP="00E12049">
            <w:pPr>
              <w:pStyle w:val="naiskr"/>
              <w:spacing w:before="0" w:after="0"/>
              <w:ind w:left="57" w:right="57"/>
              <w:rPr>
                <w:sz w:val="22"/>
                <w:szCs w:val="22"/>
              </w:rPr>
            </w:pPr>
            <w:r w:rsidRPr="0010078B">
              <w:rPr>
                <w:sz w:val="22"/>
                <w:szCs w:val="22"/>
              </w:rPr>
              <w:t xml:space="preserve">Sabiedrības līdzdalība projekta izstrādē </w:t>
            </w:r>
          </w:p>
        </w:tc>
        <w:tc>
          <w:tcPr>
            <w:tcW w:w="5819" w:type="dxa"/>
            <w:shd w:val="clear" w:color="auto" w:fill="auto"/>
          </w:tcPr>
          <w:p w14:paraId="7A2BD996" w14:textId="5F869D98" w:rsidR="00E12049" w:rsidRDefault="00E12049" w:rsidP="00E12049">
            <w:pPr>
              <w:jc w:val="both"/>
              <w:rPr>
                <w:color w:val="000000" w:themeColor="text1"/>
              </w:rPr>
            </w:pPr>
            <w:r w:rsidRPr="004C315E">
              <w:rPr>
                <w:color w:val="000000" w:themeColor="text1"/>
              </w:rPr>
              <w:t>Saskaņā ar Ministru kabineta 2009.</w:t>
            </w:r>
            <w:r>
              <w:rPr>
                <w:color w:val="000000" w:themeColor="text1"/>
              </w:rPr>
              <w:t> </w:t>
            </w:r>
            <w:r w:rsidRPr="004C315E">
              <w:rPr>
                <w:color w:val="000000" w:themeColor="text1"/>
              </w:rPr>
              <w:t>gada 25.</w:t>
            </w:r>
            <w:r>
              <w:rPr>
                <w:color w:val="000000" w:themeColor="text1"/>
              </w:rPr>
              <w:t> </w:t>
            </w:r>
            <w:r w:rsidRPr="004C315E">
              <w:rPr>
                <w:color w:val="000000" w:themeColor="text1"/>
              </w:rPr>
              <w:t>augusta noteikum</w:t>
            </w:r>
            <w:r>
              <w:rPr>
                <w:color w:val="000000" w:themeColor="text1"/>
              </w:rPr>
              <w:t>iem</w:t>
            </w:r>
            <w:r w:rsidRPr="004C315E">
              <w:rPr>
                <w:color w:val="000000" w:themeColor="text1"/>
              </w:rPr>
              <w:t xml:space="preserve"> Nr. 970 “Sabiedrības līdzdalības kārtība attīstības plānošanas procesā” </w:t>
            </w:r>
            <w:r>
              <w:rPr>
                <w:color w:val="000000" w:themeColor="text1"/>
              </w:rPr>
              <w:t>2017. gada 14. februārī  p</w:t>
            </w:r>
            <w:r w:rsidRPr="004C315E">
              <w:rPr>
                <w:color w:val="000000" w:themeColor="text1"/>
              </w:rPr>
              <w:t>a</w:t>
            </w:r>
            <w:r>
              <w:rPr>
                <w:color w:val="000000" w:themeColor="text1"/>
              </w:rPr>
              <w:t>ziņojums par līdzdalības iespējām</w:t>
            </w:r>
            <w:r w:rsidRPr="004C315E">
              <w:rPr>
                <w:color w:val="000000" w:themeColor="text1"/>
              </w:rPr>
              <w:t xml:space="preserve"> publicēts </w:t>
            </w:r>
            <w:r>
              <w:rPr>
                <w:color w:val="000000" w:themeColor="text1"/>
              </w:rPr>
              <w:t>Labklājības ministrijas</w:t>
            </w:r>
            <w:r w:rsidRPr="004C315E">
              <w:rPr>
                <w:color w:val="000000" w:themeColor="text1"/>
              </w:rPr>
              <w:t xml:space="preserve"> tīmekļa vietnē</w:t>
            </w:r>
            <w:r>
              <w:rPr>
                <w:color w:val="000000" w:themeColor="text1"/>
              </w:rPr>
              <w:t xml:space="preserve">. Paziņojumā </w:t>
            </w:r>
            <w:r w:rsidRPr="004C315E">
              <w:rPr>
                <w:color w:val="000000" w:themeColor="text1"/>
              </w:rPr>
              <w:t xml:space="preserve">paredzēts, ka sabiedrības pārstāvji var rakstiski sniegt viedokli par </w:t>
            </w:r>
            <w:r>
              <w:rPr>
                <w:color w:val="000000" w:themeColor="text1"/>
              </w:rPr>
              <w:t>noteikumu projektu</w:t>
            </w:r>
            <w:r w:rsidRPr="004C315E">
              <w:rPr>
                <w:color w:val="000000" w:themeColor="text1"/>
              </w:rPr>
              <w:t xml:space="preserve"> tā izstrādes stadijā</w:t>
            </w:r>
            <w:r>
              <w:rPr>
                <w:color w:val="000000" w:themeColor="text1"/>
              </w:rPr>
              <w:t xml:space="preserve"> līdz 2017. gada 4. aprīlim.</w:t>
            </w:r>
          </w:p>
          <w:p w14:paraId="1020519E" w14:textId="63B22C66" w:rsidR="00E12049" w:rsidRPr="0010078B" w:rsidRDefault="00E12049" w:rsidP="00E12049">
            <w:pPr>
              <w:jc w:val="both"/>
            </w:pPr>
          </w:p>
        </w:tc>
      </w:tr>
      <w:tr w:rsidR="00E12049" w:rsidRPr="0010078B" w14:paraId="03836E62" w14:textId="77777777" w:rsidTr="006A7D0B">
        <w:tc>
          <w:tcPr>
            <w:tcW w:w="396" w:type="dxa"/>
            <w:shd w:val="clear" w:color="auto" w:fill="auto"/>
          </w:tcPr>
          <w:p w14:paraId="522DD7E8" w14:textId="77777777" w:rsidR="00E12049" w:rsidRPr="0010078B" w:rsidRDefault="00E12049" w:rsidP="00E12049">
            <w:r w:rsidRPr="0010078B">
              <w:t>3.</w:t>
            </w:r>
          </w:p>
        </w:tc>
        <w:tc>
          <w:tcPr>
            <w:tcW w:w="3072" w:type="dxa"/>
            <w:shd w:val="clear" w:color="auto" w:fill="auto"/>
          </w:tcPr>
          <w:p w14:paraId="43C0CE40" w14:textId="77777777" w:rsidR="00E12049" w:rsidRPr="0010078B" w:rsidRDefault="00E12049" w:rsidP="00E12049">
            <w:pPr>
              <w:pStyle w:val="naiskr"/>
              <w:spacing w:before="0" w:after="0"/>
              <w:ind w:left="57" w:right="57"/>
              <w:rPr>
                <w:sz w:val="22"/>
                <w:szCs w:val="22"/>
              </w:rPr>
            </w:pPr>
            <w:r w:rsidRPr="0010078B">
              <w:rPr>
                <w:sz w:val="22"/>
                <w:szCs w:val="22"/>
              </w:rPr>
              <w:t xml:space="preserve">Sabiedrības līdzdalības rezultāti </w:t>
            </w:r>
          </w:p>
        </w:tc>
        <w:tc>
          <w:tcPr>
            <w:tcW w:w="5819" w:type="dxa"/>
            <w:shd w:val="clear" w:color="auto" w:fill="auto"/>
          </w:tcPr>
          <w:p w14:paraId="56B54776" w14:textId="1AB33E86" w:rsidR="00E12049" w:rsidRPr="0010078B" w:rsidRDefault="00E12049" w:rsidP="00E12049">
            <w:pPr>
              <w:jc w:val="both"/>
            </w:pPr>
            <w:r w:rsidRPr="0027320F">
              <w:rPr>
                <w:color w:val="000000" w:themeColor="text1"/>
              </w:rPr>
              <w:t xml:space="preserve">Rakstiski viedokļi </w:t>
            </w:r>
            <w:r>
              <w:rPr>
                <w:color w:val="000000" w:themeColor="text1"/>
              </w:rPr>
              <w:t>par noteikumu projektu līdz 2017</w:t>
            </w:r>
            <w:r w:rsidRPr="0027320F">
              <w:rPr>
                <w:color w:val="000000" w:themeColor="text1"/>
              </w:rPr>
              <w:t>.</w:t>
            </w:r>
            <w:r>
              <w:rPr>
                <w:color w:val="000000" w:themeColor="text1"/>
              </w:rPr>
              <w:t> </w:t>
            </w:r>
            <w:r w:rsidRPr="0027320F">
              <w:rPr>
                <w:color w:val="000000" w:themeColor="text1"/>
              </w:rPr>
              <w:t xml:space="preserve">gada </w:t>
            </w:r>
            <w:r>
              <w:rPr>
                <w:color w:val="000000" w:themeColor="text1"/>
              </w:rPr>
              <w:t>4</w:t>
            </w:r>
            <w:r w:rsidRPr="0027320F">
              <w:rPr>
                <w:color w:val="000000" w:themeColor="text1"/>
              </w:rPr>
              <w:t>.</w:t>
            </w:r>
            <w:r>
              <w:rPr>
                <w:color w:val="000000" w:themeColor="text1"/>
              </w:rPr>
              <w:t> aprīlim</w:t>
            </w:r>
            <w:r w:rsidRPr="0027320F">
              <w:rPr>
                <w:color w:val="000000" w:themeColor="text1"/>
              </w:rPr>
              <w:t xml:space="preserve"> nav saņemti.</w:t>
            </w:r>
          </w:p>
        </w:tc>
      </w:tr>
      <w:tr w:rsidR="00BC4041" w:rsidRPr="0010078B" w14:paraId="17A46A44" w14:textId="77777777" w:rsidTr="006A7D0B">
        <w:tc>
          <w:tcPr>
            <w:tcW w:w="396" w:type="dxa"/>
            <w:shd w:val="clear" w:color="auto" w:fill="auto"/>
          </w:tcPr>
          <w:p w14:paraId="642E6A62" w14:textId="77777777" w:rsidR="00BC4041" w:rsidRPr="0010078B" w:rsidRDefault="004A1651" w:rsidP="004A1651">
            <w:r w:rsidRPr="0010078B">
              <w:t>4</w:t>
            </w:r>
            <w:r w:rsidR="00BC4041" w:rsidRPr="0010078B">
              <w:t>.</w:t>
            </w:r>
          </w:p>
        </w:tc>
        <w:tc>
          <w:tcPr>
            <w:tcW w:w="3072" w:type="dxa"/>
            <w:shd w:val="clear" w:color="auto" w:fill="auto"/>
          </w:tcPr>
          <w:p w14:paraId="63B42810" w14:textId="77777777" w:rsidR="00BC4041" w:rsidRPr="0010078B" w:rsidRDefault="00BC4041" w:rsidP="006A7D0B">
            <w:pPr>
              <w:pStyle w:val="naiskr"/>
              <w:spacing w:before="0" w:after="0"/>
              <w:ind w:left="57" w:right="57"/>
              <w:rPr>
                <w:sz w:val="22"/>
                <w:szCs w:val="22"/>
              </w:rPr>
            </w:pPr>
            <w:r w:rsidRPr="0010078B">
              <w:rPr>
                <w:sz w:val="22"/>
                <w:szCs w:val="22"/>
              </w:rPr>
              <w:t>Cita informācija</w:t>
            </w:r>
          </w:p>
          <w:p w14:paraId="1171CE53" w14:textId="77777777" w:rsidR="00BC4041" w:rsidRPr="0010078B" w:rsidRDefault="00BC4041" w:rsidP="006A7D0B">
            <w:pPr>
              <w:pStyle w:val="naiskr"/>
              <w:spacing w:before="0" w:after="0"/>
              <w:ind w:left="57" w:right="57"/>
              <w:rPr>
                <w:sz w:val="22"/>
                <w:szCs w:val="22"/>
              </w:rPr>
            </w:pPr>
          </w:p>
        </w:tc>
        <w:tc>
          <w:tcPr>
            <w:tcW w:w="5819" w:type="dxa"/>
            <w:shd w:val="clear" w:color="auto" w:fill="auto"/>
          </w:tcPr>
          <w:p w14:paraId="5604F7D4" w14:textId="77777777" w:rsidR="00BC4041" w:rsidRPr="005B3310" w:rsidRDefault="00BC4041" w:rsidP="00075F2A">
            <w:pPr>
              <w:jc w:val="both"/>
            </w:pPr>
            <w:r w:rsidRPr="00D656FA">
              <w:rPr>
                <w:sz w:val="22"/>
                <w:szCs w:val="22"/>
              </w:rPr>
              <w:t>Nav</w:t>
            </w:r>
          </w:p>
        </w:tc>
      </w:tr>
    </w:tbl>
    <w:p w14:paraId="198D7BE9" w14:textId="77777777" w:rsidR="00B76D85" w:rsidRPr="0010078B"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0078B" w:rsidRPr="0010078B" w14:paraId="585FB148" w14:textId="77777777" w:rsidTr="006A7D0B">
        <w:tc>
          <w:tcPr>
            <w:tcW w:w="9287" w:type="dxa"/>
            <w:gridSpan w:val="3"/>
            <w:shd w:val="clear" w:color="auto" w:fill="auto"/>
          </w:tcPr>
          <w:p w14:paraId="63D75EE0" w14:textId="77777777" w:rsidR="00194614" w:rsidRPr="0010078B" w:rsidRDefault="00194614" w:rsidP="006A7D0B">
            <w:pPr>
              <w:jc w:val="center"/>
              <w:rPr>
                <w:b/>
              </w:rPr>
            </w:pPr>
            <w:r w:rsidRPr="0010078B">
              <w:rPr>
                <w:b/>
              </w:rPr>
              <w:t>VII</w:t>
            </w:r>
            <w:r w:rsidR="00DC37D9" w:rsidRPr="0010078B">
              <w:rPr>
                <w:b/>
              </w:rPr>
              <w:t>.</w:t>
            </w:r>
            <w:r w:rsidRPr="0010078B">
              <w:rPr>
                <w:b/>
              </w:rPr>
              <w:t xml:space="preserve"> Tiesību akta projekta izpildes nodrošināšana un tās ietekme uz institūcijām</w:t>
            </w:r>
          </w:p>
        </w:tc>
      </w:tr>
      <w:tr w:rsidR="0010078B" w:rsidRPr="0010078B" w14:paraId="390F0F88" w14:textId="77777777" w:rsidTr="006A7D0B">
        <w:tc>
          <w:tcPr>
            <w:tcW w:w="396" w:type="dxa"/>
            <w:shd w:val="clear" w:color="auto" w:fill="auto"/>
          </w:tcPr>
          <w:p w14:paraId="6A21054C" w14:textId="77777777" w:rsidR="00B76D85" w:rsidRPr="0010078B" w:rsidRDefault="00194614" w:rsidP="00242D7D">
            <w:r w:rsidRPr="0010078B">
              <w:t>1</w:t>
            </w:r>
            <w:r w:rsidR="00B76D85" w:rsidRPr="0010078B">
              <w:t xml:space="preserve">. </w:t>
            </w:r>
          </w:p>
        </w:tc>
        <w:tc>
          <w:tcPr>
            <w:tcW w:w="3072" w:type="dxa"/>
            <w:shd w:val="clear" w:color="auto" w:fill="auto"/>
          </w:tcPr>
          <w:p w14:paraId="0FD53544" w14:textId="77777777" w:rsidR="00B76D85" w:rsidRPr="0010078B" w:rsidRDefault="00194614" w:rsidP="00242D7D">
            <w:pPr>
              <w:rPr>
                <w:sz w:val="22"/>
                <w:szCs w:val="22"/>
              </w:rPr>
            </w:pPr>
            <w:r w:rsidRPr="0010078B">
              <w:rPr>
                <w:sz w:val="22"/>
                <w:szCs w:val="22"/>
              </w:rPr>
              <w:t>Projekta izpildē iesaistītās institūcijas</w:t>
            </w:r>
          </w:p>
        </w:tc>
        <w:tc>
          <w:tcPr>
            <w:tcW w:w="5819" w:type="dxa"/>
            <w:shd w:val="clear" w:color="auto" w:fill="auto"/>
          </w:tcPr>
          <w:p w14:paraId="01692076" w14:textId="77777777" w:rsidR="00B76D85" w:rsidRPr="0010078B" w:rsidRDefault="00804826" w:rsidP="00CA2198">
            <w:pPr>
              <w:jc w:val="both"/>
            </w:pPr>
            <w:r w:rsidRPr="0010078B">
              <w:rPr>
                <w:iCs/>
              </w:rPr>
              <w:t>Labklājības ministrija,</w:t>
            </w:r>
            <w:r w:rsidR="00494AEB">
              <w:rPr>
                <w:iCs/>
              </w:rPr>
              <w:t xml:space="preserve"> Centrālā statistikas pārvalde,</w:t>
            </w:r>
            <w:r w:rsidRPr="0010078B">
              <w:rPr>
                <w:iCs/>
              </w:rPr>
              <w:t xml:space="preserve"> </w:t>
            </w:r>
            <w:r w:rsidR="007C486B">
              <w:rPr>
                <w:iCs/>
              </w:rPr>
              <w:t>p</w:t>
            </w:r>
            <w:r w:rsidRPr="0010078B">
              <w:rPr>
                <w:iCs/>
              </w:rPr>
              <w:t xml:space="preserve">ašvaldību sociālie dienesti, </w:t>
            </w:r>
            <w:r w:rsidR="007C486B">
              <w:rPr>
                <w:iCs/>
              </w:rPr>
              <w:t>i</w:t>
            </w:r>
            <w:r w:rsidRPr="0010078B">
              <w:rPr>
                <w:iCs/>
              </w:rPr>
              <w:t xml:space="preserve">lgstošās sociālās aprūpes un sociālās rehabilitācijas institūcijas, </w:t>
            </w:r>
            <w:r w:rsidR="007C486B">
              <w:rPr>
                <w:iCs/>
              </w:rPr>
              <w:t>s</w:t>
            </w:r>
            <w:r w:rsidR="002D6707" w:rsidRPr="0010078B">
              <w:rPr>
                <w:iCs/>
              </w:rPr>
              <w:t>ociālā</w:t>
            </w:r>
            <w:r w:rsidR="002D6707">
              <w:rPr>
                <w:iCs/>
              </w:rPr>
              <w:t>s</w:t>
            </w:r>
            <w:r w:rsidR="002D6707" w:rsidRPr="0010078B">
              <w:rPr>
                <w:iCs/>
              </w:rPr>
              <w:t xml:space="preserve"> rehabilitācija</w:t>
            </w:r>
            <w:r w:rsidR="002D6707">
              <w:rPr>
                <w:iCs/>
              </w:rPr>
              <w:t xml:space="preserve">s pakalpojumu sniedzēji </w:t>
            </w:r>
            <w:r w:rsidR="00CA2198">
              <w:rPr>
                <w:iCs/>
              </w:rPr>
              <w:t>v</w:t>
            </w:r>
            <w:r w:rsidRPr="0010078B">
              <w:rPr>
                <w:iCs/>
              </w:rPr>
              <w:t>ardarbībā cietušām personām</w:t>
            </w:r>
            <w:r w:rsidR="007C486B">
              <w:rPr>
                <w:iCs/>
              </w:rPr>
              <w:t xml:space="preserve"> un vardarbīb</w:t>
            </w:r>
            <w:r w:rsidR="00CA2198">
              <w:rPr>
                <w:iCs/>
              </w:rPr>
              <w:t>u</w:t>
            </w:r>
            <w:r w:rsidR="007C486B">
              <w:rPr>
                <w:iCs/>
              </w:rPr>
              <w:t xml:space="preserve"> vei</w:t>
            </w:r>
            <w:r w:rsidR="00CA2198">
              <w:rPr>
                <w:iCs/>
              </w:rPr>
              <w:t>kušām personām</w:t>
            </w:r>
            <w:r w:rsidRPr="0010078B">
              <w:rPr>
                <w:iCs/>
              </w:rPr>
              <w:t>.</w:t>
            </w:r>
          </w:p>
        </w:tc>
      </w:tr>
      <w:tr w:rsidR="0010078B" w:rsidRPr="0010078B" w14:paraId="64B68EE7" w14:textId="77777777" w:rsidTr="006A7D0B">
        <w:tc>
          <w:tcPr>
            <w:tcW w:w="396" w:type="dxa"/>
            <w:shd w:val="clear" w:color="auto" w:fill="auto"/>
          </w:tcPr>
          <w:p w14:paraId="11D3A4E2" w14:textId="77777777" w:rsidR="00B76D85" w:rsidRPr="0010078B" w:rsidRDefault="00194614" w:rsidP="00242D7D">
            <w:r w:rsidRPr="0010078B">
              <w:t>2</w:t>
            </w:r>
            <w:r w:rsidR="00B76D85" w:rsidRPr="0010078B">
              <w:t xml:space="preserve">. </w:t>
            </w:r>
          </w:p>
        </w:tc>
        <w:tc>
          <w:tcPr>
            <w:tcW w:w="3072" w:type="dxa"/>
            <w:shd w:val="clear" w:color="auto" w:fill="auto"/>
          </w:tcPr>
          <w:p w14:paraId="7F69342F" w14:textId="77777777" w:rsidR="00606F3D" w:rsidRPr="0010078B" w:rsidRDefault="00606F3D" w:rsidP="006A7D0B">
            <w:pPr>
              <w:rPr>
                <w:sz w:val="22"/>
                <w:szCs w:val="22"/>
              </w:rPr>
            </w:pPr>
            <w:r w:rsidRPr="0010078B">
              <w:rPr>
                <w:sz w:val="22"/>
                <w:szCs w:val="22"/>
              </w:rPr>
              <w:t>Projekta izpildes ietekme uz pār</w:t>
            </w:r>
            <w:r w:rsidRPr="0010078B">
              <w:rPr>
                <w:sz w:val="22"/>
                <w:szCs w:val="22"/>
              </w:rPr>
              <w:softHyphen/>
              <w:t>valdes funkcijām un institucionālo struktūru.</w:t>
            </w:r>
          </w:p>
          <w:p w14:paraId="0203F739" w14:textId="77777777" w:rsidR="00B76D85" w:rsidRPr="0010078B" w:rsidRDefault="00606F3D" w:rsidP="00606F3D">
            <w:pPr>
              <w:rPr>
                <w:sz w:val="22"/>
                <w:szCs w:val="22"/>
              </w:rPr>
            </w:pPr>
            <w:r w:rsidRPr="0010078B">
              <w:rPr>
                <w:sz w:val="22"/>
                <w:szCs w:val="22"/>
              </w:rPr>
              <w:t>Jaunu institūciju izveide, esošu institūciju likvidācija vai reorga</w:t>
            </w:r>
            <w:r w:rsidRPr="0010078B">
              <w:rPr>
                <w:sz w:val="22"/>
                <w:szCs w:val="22"/>
              </w:rPr>
              <w:softHyphen/>
              <w:t>nizācija, to ietekme uz institūcijas cilvēkresursiem</w:t>
            </w:r>
          </w:p>
        </w:tc>
        <w:tc>
          <w:tcPr>
            <w:tcW w:w="5819" w:type="dxa"/>
            <w:shd w:val="clear" w:color="auto" w:fill="auto"/>
          </w:tcPr>
          <w:p w14:paraId="6D2FFAD4" w14:textId="77777777" w:rsidR="00B76D85" w:rsidRPr="0010078B" w:rsidRDefault="00525C21" w:rsidP="00525C21">
            <w:pPr>
              <w:jc w:val="both"/>
            </w:pPr>
            <w:r w:rsidRPr="0010078B">
              <w:t>Noteikumu projekts neparedz jaunu institūciju veidošanu, kā arī neparedz esošo institūciju funkciju paplašināšanu</w:t>
            </w:r>
            <w:r w:rsidRPr="0010078B">
              <w:rPr>
                <w:iCs/>
                <w:sz w:val="22"/>
                <w:szCs w:val="22"/>
              </w:rPr>
              <w:t>.</w:t>
            </w:r>
          </w:p>
        </w:tc>
      </w:tr>
      <w:tr w:rsidR="0010078B" w:rsidRPr="0010078B" w14:paraId="2B5067E9" w14:textId="77777777" w:rsidTr="006A7D0B">
        <w:tc>
          <w:tcPr>
            <w:tcW w:w="396" w:type="dxa"/>
            <w:shd w:val="clear" w:color="auto" w:fill="auto"/>
          </w:tcPr>
          <w:p w14:paraId="4A951673" w14:textId="77777777" w:rsidR="00194614" w:rsidRPr="0010078B" w:rsidRDefault="00606F3D" w:rsidP="00606F3D">
            <w:r w:rsidRPr="0010078B">
              <w:t>3</w:t>
            </w:r>
            <w:r w:rsidR="00194614" w:rsidRPr="0010078B">
              <w:t xml:space="preserve">. </w:t>
            </w:r>
          </w:p>
        </w:tc>
        <w:tc>
          <w:tcPr>
            <w:tcW w:w="3072" w:type="dxa"/>
            <w:shd w:val="clear" w:color="auto" w:fill="auto"/>
          </w:tcPr>
          <w:p w14:paraId="548B0E25" w14:textId="77777777" w:rsidR="00194614" w:rsidRPr="0010078B" w:rsidRDefault="00194614" w:rsidP="00242D7D">
            <w:pPr>
              <w:rPr>
                <w:sz w:val="22"/>
                <w:szCs w:val="22"/>
              </w:rPr>
            </w:pPr>
            <w:r w:rsidRPr="0010078B">
              <w:rPr>
                <w:sz w:val="22"/>
                <w:szCs w:val="22"/>
              </w:rPr>
              <w:t>Cita informācija</w:t>
            </w:r>
          </w:p>
        </w:tc>
        <w:tc>
          <w:tcPr>
            <w:tcW w:w="5819" w:type="dxa"/>
            <w:shd w:val="clear" w:color="auto" w:fill="auto"/>
          </w:tcPr>
          <w:p w14:paraId="75AA8F82" w14:textId="77777777" w:rsidR="00194614" w:rsidRPr="0010078B" w:rsidRDefault="002D6707" w:rsidP="002D6707">
            <w:pPr>
              <w:jc w:val="both"/>
              <w:rPr>
                <w:i/>
              </w:rPr>
            </w:pPr>
            <w:r w:rsidRPr="00A7625F">
              <w:rPr>
                <w:sz w:val="22"/>
                <w:szCs w:val="22"/>
              </w:rPr>
              <w:t>Nav</w:t>
            </w:r>
          </w:p>
        </w:tc>
      </w:tr>
    </w:tbl>
    <w:p w14:paraId="04ABDE88" w14:textId="77777777" w:rsidR="00E12049" w:rsidRDefault="00E12049" w:rsidP="004A3F3B">
      <w:pPr>
        <w:jc w:val="both"/>
        <w:rPr>
          <w:rFonts w:ascii="Arial" w:hAnsi="Arial" w:cs="Arial"/>
          <w:i/>
          <w:iCs/>
        </w:rPr>
      </w:pPr>
    </w:p>
    <w:p w14:paraId="46AF2EE2" w14:textId="2644EF3F" w:rsidR="00B76D85" w:rsidRPr="00E12049" w:rsidRDefault="004A3F3B" w:rsidP="004A3F3B">
      <w:pPr>
        <w:jc w:val="both"/>
      </w:pPr>
      <w:r w:rsidRPr="00E11D8B">
        <w:rPr>
          <w:iCs/>
        </w:rPr>
        <w:t xml:space="preserve">Anotācijas IV un V sadaļa – </w:t>
      </w:r>
      <w:r w:rsidR="00E12049" w:rsidRPr="00E11D8B">
        <w:rPr>
          <w:iCs/>
        </w:rPr>
        <w:t xml:space="preserve">noteikumu </w:t>
      </w:r>
      <w:r w:rsidRPr="00E11D8B">
        <w:rPr>
          <w:iCs/>
        </w:rPr>
        <w:t>projekts šīs jomas neskar</w:t>
      </w:r>
      <w:r w:rsidR="00E12049" w:rsidRPr="00E11D8B">
        <w:rPr>
          <w:iCs/>
        </w:rPr>
        <w:t>.</w:t>
      </w:r>
    </w:p>
    <w:p w14:paraId="49A67AC1" w14:textId="77777777" w:rsidR="00FE5D00" w:rsidRPr="0010078B" w:rsidRDefault="00FE5D00" w:rsidP="00B76D85">
      <w:pPr>
        <w:jc w:val="center"/>
      </w:pPr>
    </w:p>
    <w:p w14:paraId="12C0121C" w14:textId="77777777" w:rsidR="00194614" w:rsidRPr="0010078B" w:rsidRDefault="00194614" w:rsidP="00194614">
      <w:pPr>
        <w:rPr>
          <w:sz w:val="28"/>
          <w:szCs w:val="28"/>
        </w:rPr>
      </w:pPr>
      <w:r w:rsidRPr="0010078B">
        <w:rPr>
          <w:sz w:val="28"/>
          <w:szCs w:val="28"/>
        </w:rPr>
        <w:t>Labklājības ministr</w:t>
      </w:r>
      <w:r w:rsidR="00B0362F" w:rsidRPr="0010078B">
        <w:rPr>
          <w:sz w:val="28"/>
          <w:szCs w:val="28"/>
        </w:rPr>
        <w:t>s</w:t>
      </w:r>
      <w:r w:rsidRPr="0010078B">
        <w:rPr>
          <w:sz w:val="28"/>
          <w:szCs w:val="28"/>
        </w:rPr>
        <w:tab/>
      </w:r>
      <w:r w:rsidRPr="0010078B">
        <w:rPr>
          <w:sz w:val="28"/>
          <w:szCs w:val="28"/>
        </w:rPr>
        <w:tab/>
      </w:r>
      <w:r w:rsidRPr="0010078B">
        <w:rPr>
          <w:sz w:val="28"/>
          <w:szCs w:val="28"/>
        </w:rPr>
        <w:tab/>
      </w:r>
      <w:r w:rsidRPr="0010078B">
        <w:rPr>
          <w:sz w:val="28"/>
          <w:szCs w:val="28"/>
        </w:rPr>
        <w:tab/>
      </w:r>
      <w:r w:rsidRPr="0010078B">
        <w:rPr>
          <w:sz w:val="28"/>
          <w:szCs w:val="28"/>
        </w:rPr>
        <w:tab/>
      </w:r>
      <w:r w:rsidRPr="0010078B">
        <w:rPr>
          <w:sz w:val="28"/>
          <w:szCs w:val="28"/>
        </w:rPr>
        <w:tab/>
        <w:t xml:space="preserve">          </w:t>
      </w:r>
      <w:r w:rsidR="00330E6E" w:rsidRPr="0010078B">
        <w:rPr>
          <w:sz w:val="28"/>
          <w:szCs w:val="28"/>
        </w:rPr>
        <w:t xml:space="preserve">         </w:t>
      </w:r>
      <w:r w:rsidR="00525C21" w:rsidRPr="0010078B">
        <w:rPr>
          <w:sz w:val="28"/>
          <w:szCs w:val="28"/>
        </w:rPr>
        <w:t>J.Reirs</w:t>
      </w:r>
    </w:p>
    <w:p w14:paraId="6D838766" w14:textId="77777777" w:rsidR="00194614" w:rsidRPr="0010078B" w:rsidRDefault="00194614" w:rsidP="00194614">
      <w:pPr>
        <w:rPr>
          <w:sz w:val="28"/>
          <w:szCs w:val="28"/>
        </w:rPr>
      </w:pPr>
    </w:p>
    <w:p w14:paraId="69EE3BFA" w14:textId="77777777" w:rsidR="00115437" w:rsidRPr="0010078B" w:rsidRDefault="00115437" w:rsidP="00194614">
      <w:pPr>
        <w:pStyle w:val="Footer"/>
      </w:pPr>
    </w:p>
    <w:p w14:paraId="737FE39F" w14:textId="77777777" w:rsidR="00330E6E" w:rsidRPr="0010078B" w:rsidRDefault="00330E6E" w:rsidP="00194614">
      <w:pPr>
        <w:pStyle w:val="Footer"/>
      </w:pPr>
    </w:p>
    <w:p w14:paraId="0C4C49FE" w14:textId="77777777" w:rsidR="00330E6E" w:rsidRPr="0010078B" w:rsidRDefault="00330E6E" w:rsidP="00194614">
      <w:pPr>
        <w:pStyle w:val="Footer"/>
      </w:pPr>
    </w:p>
    <w:p w14:paraId="65BF593B" w14:textId="77777777" w:rsidR="00330E6E" w:rsidRPr="0010078B" w:rsidRDefault="00330E6E" w:rsidP="00194614">
      <w:pPr>
        <w:pStyle w:val="Footer"/>
      </w:pPr>
    </w:p>
    <w:p w14:paraId="78CF22F8" w14:textId="77777777" w:rsidR="00330E6E" w:rsidRPr="0010078B" w:rsidRDefault="00330E6E" w:rsidP="00194614">
      <w:pPr>
        <w:pStyle w:val="Footer"/>
      </w:pPr>
    </w:p>
    <w:p w14:paraId="3D7D6B92" w14:textId="77777777" w:rsidR="00330E6E" w:rsidRPr="0010078B" w:rsidRDefault="00330E6E" w:rsidP="00194614">
      <w:pPr>
        <w:pStyle w:val="Footer"/>
      </w:pPr>
    </w:p>
    <w:p w14:paraId="0F949409" w14:textId="77777777" w:rsidR="00330E6E" w:rsidRPr="0010078B" w:rsidRDefault="00330E6E" w:rsidP="00194614">
      <w:pPr>
        <w:pStyle w:val="Footer"/>
      </w:pPr>
    </w:p>
    <w:p w14:paraId="51FFE87F" w14:textId="77777777" w:rsidR="00330E6E" w:rsidRPr="0010078B" w:rsidRDefault="00330E6E" w:rsidP="00194614">
      <w:pPr>
        <w:pStyle w:val="Footer"/>
      </w:pPr>
    </w:p>
    <w:p w14:paraId="6187380F" w14:textId="6229F01F" w:rsidR="00194614" w:rsidRPr="0010078B" w:rsidRDefault="000032CB" w:rsidP="00194614">
      <w:pPr>
        <w:pStyle w:val="Footer"/>
        <w:tabs>
          <w:tab w:val="clear" w:pos="4153"/>
          <w:tab w:val="clear" w:pos="8306"/>
        </w:tabs>
        <w:rPr>
          <w:sz w:val="20"/>
          <w:szCs w:val="20"/>
        </w:rPr>
      </w:pPr>
      <w:r>
        <w:rPr>
          <w:sz w:val="20"/>
          <w:szCs w:val="20"/>
        </w:rPr>
        <w:t>2</w:t>
      </w:r>
      <w:r w:rsidR="004146F1">
        <w:rPr>
          <w:sz w:val="20"/>
          <w:szCs w:val="20"/>
        </w:rPr>
        <w:t>6</w:t>
      </w:r>
      <w:r w:rsidR="003B2B63">
        <w:rPr>
          <w:sz w:val="20"/>
          <w:szCs w:val="20"/>
        </w:rPr>
        <w:t>.0</w:t>
      </w:r>
      <w:r w:rsidR="00E1757D">
        <w:rPr>
          <w:sz w:val="20"/>
          <w:szCs w:val="20"/>
        </w:rPr>
        <w:t>5</w:t>
      </w:r>
      <w:r w:rsidR="00E512D1">
        <w:rPr>
          <w:sz w:val="20"/>
          <w:szCs w:val="20"/>
        </w:rPr>
        <w:t xml:space="preserve">.2017 </w:t>
      </w:r>
      <w:r w:rsidR="00E1757D">
        <w:rPr>
          <w:sz w:val="20"/>
          <w:szCs w:val="20"/>
        </w:rPr>
        <w:t>1</w:t>
      </w:r>
      <w:r w:rsidR="004146F1">
        <w:rPr>
          <w:sz w:val="20"/>
          <w:szCs w:val="20"/>
        </w:rPr>
        <w:t>1</w:t>
      </w:r>
      <w:r>
        <w:rPr>
          <w:sz w:val="20"/>
          <w:szCs w:val="20"/>
        </w:rPr>
        <w:t>:</w:t>
      </w:r>
      <w:r w:rsidR="00AE5E65">
        <w:rPr>
          <w:sz w:val="20"/>
          <w:szCs w:val="20"/>
        </w:rPr>
        <w:t>42</w:t>
      </w:r>
    </w:p>
    <w:p w14:paraId="1B7E952E" w14:textId="7EAD873B" w:rsidR="00194614" w:rsidRPr="0010078B" w:rsidRDefault="00804F47" w:rsidP="00194614">
      <w:pPr>
        <w:pStyle w:val="Footer"/>
        <w:tabs>
          <w:tab w:val="clear" w:pos="4153"/>
          <w:tab w:val="clear" w:pos="8306"/>
        </w:tabs>
        <w:rPr>
          <w:sz w:val="20"/>
          <w:szCs w:val="20"/>
        </w:rPr>
      </w:pPr>
      <w:r>
        <w:rPr>
          <w:sz w:val="20"/>
          <w:szCs w:val="20"/>
        </w:rPr>
        <w:t>222</w:t>
      </w:r>
      <w:r w:rsidR="00AE5E65">
        <w:rPr>
          <w:sz w:val="20"/>
          <w:szCs w:val="20"/>
        </w:rPr>
        <w:t>7</w:t>
      </w:r>
    </w:p>
    <w:p w14:paraId="622DD79B" w14:textId="77777777" w:rsidR="00194614" w:rsidRPr="0010078B" w:rsidRDefault="006E4317" w:rsidP="00194614">
      <w:pPr>
        <w:rPr>
          <w:sz w:val="20"/>
          <w:szCs w:val="20"/>
        </w:rPr>
      </w:pPr>
      <w:proofErr w:type="spellStart"/>
      <w:r w:rsidRPr="0010078B">
        <w:rPr>
          <w:sz w:val="20"/>
          <w:szCs w:val="20"/>
        </w:rPr>
        <w:t>Ž.Buhanovskis</w:t>
      </w:r>
      <w:proofErr w:type="spellEnd"/>
    </w:p>
    <w:p w14:paraId="13B5439B" w14:textId="77777777" w:rsidR="00DB4594" w:rsidRPr="0010078B" w:rsidRDefault="00C51021" w:rsidP="00194614">
      <w:pPr>
        <w:rPr>
          <w:sz w:val="20"/>
          <w:szCs w:val="20"/>
        </w:rPr>
      </w:pPr>
      <w:r w:rsidRPr="0010078B">
        <w:rPr>
          <w:sz w:val="20"/>
          <w:szCs w:val="20"/>
        </w:rPr>
        <w:t>T</w:t>
      </w:r>
      <w:r w:rsidR="00DB4594" w:rsidRPr="0010078B">
        <w:rPr>
          <w:sz w:val="20"/>
          <w:szCs w:val="20"/>
        </w:rPr>
        <w:t>ālrunis</w:t>
      </w:r>
      <w:r w:rsidR="006E4317" w:rsidRPr="0010078B">
        <w:rPr>
          <w:sz w:val="20"/>
          <w:szCs w:val="20"/>
        </w:rPr>
        <w:t>: 67021670</w:t>
      </w:r>
    </w:p>
    <w:p w14:paraId="2BEF532C" w14:textId="77777777" w:rsidR="00194614" w:rsidRPr="0010078B" w:rsidRDefault="00DB4594" w:rsidP="00194614">
      <w:pPr>
        <w:rPr>
          <w:sz w:val="20"/>
          <w:szCs w:val="20"/>
        </w:rPr>
      </w:pPr>
      <w:r w:rsidRPr="0010078B">
        <w:rPr>
          <w:sz w:val="20"/>
          <w:szCs w:val="20"/>
        </w:rPr>
        <w:t>e-pasts</w:t>
      </w:r>
      <w:r w:rsidR="006E4317" w:rsidRPr="0010078B">
        <w:rPr>
          <w:sz w:val="20"/>
          <w:szCs w:val="20"/>
        </w:rPr>
        <w:t>: zanis.buhanovskis@lm.gov.lv</w:t>
      </w:r>
    </w:p>
    <w:sectPr w:rsidR="00194614" w:rsidRPr="0010078B" w:rsidSect="004373E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7E8A2" w14:textId="77777777" w:rsidR="003703FE" w:rsidRDefault="003703FE">
      <w:r>
        <w:separator/>
      </w:r>
    </w:p>
  </w:endnote>
  <w:endnote w:type="continuationSeparator" w:id="0">
    <w:p w14:paraId="7C2AAEFF" w14:textId="77777777" w:rsidR="003703FE" w:rsidRDefault="0037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2FB7" w14:textId="77777777" w:rsidR="000032CB" w:rsidRDefault="00003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3FA7" w14:textId="5B311670" w:rsidR="0089088B" w:rsidRPr="0089088B" w:rsidRDefault="0089088B" w:rsidP="0089088B">
    <w:pPr>
      <w:pStyle w:val="Footer"/>
      <w:rPr>
        <w:sz w:val="20"/>
        <w:szCs w:val="20"/>
      </w:rPr>
    </w:pPr>
    <w:r w:rsidRPr="0089088B">
      <w:rPr>
        <w:sz w:val="20"/>
        <w:szCs w:val="20"/>
      </w:rPr>
      <w:t>LManot_</w:t>
    </w:r>
    <w:r w:rsidR="000032CB">
      <w:rPr>
        <w:sz w:val="20"/>
        <w:szCs w:val="20"/>
      </w:rPr>
      <w:t>2</w:t>
    </w:r>
    <w:r w:rsidR="004146F1">
      <w:rPr>
        <w:sz w:val="20"/>
        <w:szCs w:val="20"/>
      </w:rPr>
      <w:t>6</w:t>
    </w:r>
    <w:r w:rsidR="00804F47">
      <w:rPr>
        <w:sz w:val="20"/>
        <w:szCs w:val="20"/>
      </w:rPr>
      <w:t>05</w:t>
    </w:r>
    <w:r w:rsidR="00A7625F" w:rsidRPr="0089088B">
      <w:rPr>
        <w:sz w:val="20"/>
        <w:szCs w:val="20"/>
      </w:rPr>
      <w:t>17</w:t>
    </w:r>
    <w:r w:rsidRPr="0089088B">
      <w:rPr>
        <w:sz w:val="20"/>
        <w:szCs w:val="20"/>
      </w:rPr>
      <w:t xml:space="preserve">_stat; </w:t>
    </w:r>
    <w:r w:rsidR="00C04FA2" w:rsidRPr="00C04FA2">
      <w:rPr>
        <w:sz w:val="20"/>
        <w:szCs w:val="20"/>
      </w:rPr>
      <w:t>Ministru kabineta noteikumu projekta „Oficiālās statistikas veidlapu sociālo pakalpojumu un sociālās palīdzības jomā paraugu apstiprināšanas un veidlapu aizpildīšanas un iesniegšanas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F22F" w14:textId="0536B150" w:rsidR="00115437" w:rsidRPr="0089088B" w:rsidRDefault="0089088B">
    <w:pPr>
      <w:pStyle w:val="Footer"/>
      <w:rPr>
        <w:sz w:val="20"/>
        <w:szCs w:val="20"/>
      </w:rPr>
    </w:pPr>
    <w:r w:rsidRPr="0089088B">
      <w:rPr>
        <w:sz w:val="20"/>
        <w:szCs w:val="20"/>
      </w:rPr>
      <w:t>LManot_</w:t>
    </w:r>
    <w:r w:rsidR="000032CB">
      <w:rPr>
        <w:sz w:val="20"/>
        <w:szCs w:val="20"/>
      </w:rPr>
      <w:t>2</w:t>
    </w:r>
    <w:r w:rsidR="004146F1">
      <w:rPr>
        <w:sz w:val="20"/>
        <w:szCs w:val="20"/>
      </w:rPr>
      <w:t>6</w:t>
    </w:r>
    <w:r w:rsidR="00804F47">
      <w:rPr>
        <w:sz w:val="20"/>
        <w:szCs w:val="20"/>
      </w:rPr>
      <w:t>05</w:t>
    </w:r>
    <w:r w:rsidRPr="0089088B">
      <w:rPr>
        <w:sz w:val="20"/>
        <w:szCs w:val="20"/>
      </w:rPr>
      <w:t>17_stat</w:t>
    </w:r>
    <w:r w:rsidR="00115437" w:rsidRPr="0089088B">
      <w:rPr>
        <w:sz w:val="20"/>
        <w:szCs w:val="20"/>
      </w:rPr>
      <w:t xml:space="preserve">; </w:t>
    </w:r>
    <w:r w:rsidR="00C04FA2" w:rsidRPr="00C04FA2">
      <w:rPr>
        <w:sz w:val="20"/>
        <w:szCs w:val="20"/>
      </w:rPr>
      <w:t>Ministru kabineta noteikumu projekta „Oficiālās statistikas veidlapu sociālo pakalpojumu un sociālās palīdzības jomā paraugu apstiprināšanas un veidlapu aizpildīšanas un iesniegšanas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8079" w14:textId="77777777" w:rsidR="003703FE" w:rsidRDefault="003703FE">
      <w:r>
        <w:separator/>
      </w:r>
    </w:p>
  </w:footnote>
  <w:footnote w:type="continuationSeparator" w:id="0">
    <w:p w14:paraId="7E46E745" w14:textId="77777777" w:rsidR="003703FE" w:rsidRDefault="0037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B9899" w14:textId="77777777" w:rsidR="00115437" w:rsidRDefault="00115437"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7BF">
      <w:rPr>
        <w:rStyle w:val="PageNumber"/>
        <w:noProof/>
      </w:rPr>
      <w:t>8</w:t>
    </w:r>
    <w:r>
      <w:rPr>
        <w:rStyle w:val="PageNumber"/>
      </w:rPr>
      <w:fldChar w:fldCharType="end"/>
    </w:r>
  </w:p>
  <w:p w14:paraId="0F19EA12" w14:textId="77777777" w:rsidR="00115437" w:rsidRDefault="00115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F1D5" w14:textId="45B2CAB3" w:rsidR="00115437" w:rsidRDefault="00115437"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F1F">
      <w:rPr>
        <w:rStyle w:val="PageNumber"/>
        <w:noProof/>
      </w:rPr>
      <w:t>8</w:t>
    </w:r>
    <w:r>
      <w:rPr>
        <w:rStyle w:val="PageNumber"/>
      </w:rPr>
      <w:fldChar w:fldCharType="end"/>
    </w:r>
  </w:p>
  <w:p w14:paraId="5B4A4EEB" w14:textId="77777777" w:rsidR="00115437" w:rsidRDefault="00115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661D" w14:textId="77777777" w:rsidR="000032CB" w:rsidRDefault="00003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854"/>
    <w:multiLevelType w:val="multilevel"/>
    <w:tmpl w:val="112E88F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43A71C0C"/>
    <w:multiLevelType w:val="hybridMultilevel"/>
    <w:tmpl w:val="CBEE1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ze Brazauska">
    <w15:presenceInfo w15:providerId="AD" w15:userId="S-1-5-21-3313685600-2057428580-2752540593-5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32CB"/>
    <w:rsid w:val="00003592"/>
    <w:rsid w:val="00005539"/>
    <w:rsid w:val="00005EA9"/>
    <w:rsid w:val="00014889"/>
    <w:rsid w:val="0002170D"/>
    <w:rsid w:val="00043389"/>
    <w:rsid w:val="00047E6C"/>
    <w:rsid w:val="0006002A"/>
    <w:rsid w:val="00065FDF"/>
    <w:rsid w:val="00074BEA"/>
    <w:rsid w:val="00075F2A"/>
    <w:rsid w:val="00084CB0"/>
    <w:rsid w:val="000875A3"/>
    <w:rsid w:val="000A4751"/>
    <w:rsid w:val="000C64A8"/>
    <w:rsid w:val="000E3CE1"/>
    <w:rsid w:val="0010078B"/>
    <w:rsid w:val="0010600F"/>
    <w:rsid w:val="00115437"/>
    <w:rsid w:val="0012151E"/>
    <w:rsid w:val="0012702B"/>
    <w:rsid w:val="0013077F"/>
    <w:rsid w:val="00132DF6"/>
    <w:rsid w:val="00142E88"/>
    <w:rsid w:val="00170E63"/>
    <w:rsid w:val="00194614"/>
    <w:rsid w:val="00197658"/>
    <w:rsid w:val="001A3E17"/>
    <w:rsid w:val="001A5073"/>
    <w:rsid w:val="001C3E8D"/>
    <w:rsid w:val="001C67A6"/>
    <w:rsid w:val="001D298B"/>
    <w:rsid w:val="001E3B1F"/>
    <w:rsid w:val="001F0AAB"/>
    <w:rsid w:val="00216BBE"/>
    <w:rsid w:val="002175D9"/>
    <w:rsid w:val="002178F0"/>
    <w:rsid w:val="0022698A"/>
    <w:rsid w:val="00230730"/>
    <w:rsid w:val="00242D7D"/>
    <w:rsid w:val="00252213"/>
    <w:rsid w:val="0026572F"/>
    <w:rsid w:val="00273F99"/>
    <w:rsid w:val="00294F6F"/>
    <w:rsid w:val="002B1389"/>
    <w:rsid w:val="002C15D5"/>
    <w:rsid w:val="002D6707"/>
    <w:rsid w:val="002E224D"/>
    <w:rsid w:val="00300DBA"/>
    <w:rsid w:val="00301244"/>
    <w:rsid w:val="003065BB"/>
    <w:rsid w:val="00322D34"/>
    <w:rsid w:val="0032302D"/>
    <w:rsid w:val="00330E6E"/>
    <w:rsid w:val="003409EB"/>
    <w:rsid w:val="00365106"/>
    <w:rsid w:val="003703FE"/>
    <w:rsid w:val="003B2B63"/>
    <w:rsid w:val="003B629D"/>
    <w:rsid w:val="003F27FC"/>
    <w:rsid w:val="003F481E"/>
    <w:rsid w:val="003F5C55"/>
    <w:rsid w:val="00402891"/>
    <w:rsid w:val="004129BB"/>
    <w:rsid w:val="004146F1"/>
    <w:rsid w:val="00415DE1"/>
    <w:rsid w:val="00421529"/>
    <w:rsid w:val="00421A01"/>
    <w:rsid w:val="00435D81"/>
    <w:rsid w:val="004373E9"/>
    <w:rsid w:val="00441957"/>
    <w:rsid w:val="00467553"/>
    <w:rsid w:val="004755E4"/>
    <w:rsid w:val="00493DD2"/>
    <w:rsid w:val="00494AEB"/>
    <w:rsid w:val="00496C23"/>
    <w:rsid w:val="004A1651"/>
    <w:rsid w:val="004A3F3B"/>
    <w:rsid w:val="004B082F"/>
    <w:rsid w:val="004C37C4"/>
    <w:rsid w:val="004F1399"/>
    <w:rsid w:val="00503796"/>
    <w:rsid w:val="0051235A"/>
    <w:rsid w:val="00517E98"/>
    <w:rsid w:val="005201D6"/>
    <w:rsid w:val="00525C21"/>
    <w:rsid w:val="00536CB1"/>
    <w:rsid w:val="00542C64"/>
    <w:rsid w:val="005438FE"/>
    <w:rsid w:val="00552D2A"/>
    <w:rsid w:val="00552E88"/>
    <w:rsid w:val="005805BC"/>
    <w:rsid w:val="005A547B"/>
    <w:rsid w:val="005B3310"/>
    <w:rsid w:val="005F60E4"/>
    <w:rsid w:val="00606CC8"/>
    <w:rsid w:val="00606F3D"/>
    <w:rsid w:val="00613BA0"/>
    <w:rsid w:val="00630B60"/>
    <w:rsid w:val="006827BF"/>
    <w:rsid w:val="0068651F"/>
    <w:rsid w:val="00695242"/>
    <w:rsid w:val="006A4F1F"/>
    <w:rsid w:val="006A7D0B"/>
    <w:rsid w:val="006B7861"/>
    <w:rsid w:val="006C0CCD"/>
    <w:rsid w:val="006C6790"/>
    <w:rsid w:val="006D77EA"/>
    <w:rsid w:val="006E4317"/>
    <w:rsid w:val="00704653"/>
    <w:rsid w:val="00704C57"/>
    <w:rsid w:val="0071151B"/>
    <w:rsid w:val="007133B7"/>
    <w:rsid w:val="0071655B"/>
    <w:rsid w:val="00722AE8"/>
    <w:rsid w:val="0073306B"/>
    <w:rsid w:val="00741EE9"/>
    <w:rsid w:val="007422EB"/>
    <w:rsid w:val="007461FA"/>
    <w:rsid w:val="007513BD"/>
    <w:rsid w:val="00772DC0"/>
    <w:rsid w:val="007B4F39"/>
    <w:rsid w:val="007C301D"/>
    <w:rsid w:val="007C486B"/>
    <w:rsid w:val="007E6B66"/>
    <w:rsid w:val="007F44BB"/>
    <w:rsid w:val="008028B0"/>
    <w:rsid w:val="00804826"/>
    <w:rsid w:val="00804F47"/>
    <w:rsid w:val="00810A37"/>
    <w:rsid w:val="00816838"/>
    <w:rsid w:val="00821AAF"/>
    <w:rsid w:val="00823E32"/>
    <w:rsid w:val="0084171F"/>
    <w:rsid w:val="00875CB1"/>
    <w:rsid w:val="0088469E"/>
    <w:rsid w:val="008877FE"/>
    <w:rsid w:val="0089088B"/>
    <w:rsid w:val="00895B62"/>
    <w:rsid w:val="008A1E2A"/>
    <w:rsid w:val="008A40DF"/>
    <w:rsid w:val="008B33F0"/>
    <w:rsid w:val="008C7A8C"/>
    <w:rsid w:val="008E25DE"/>
    <w:rsid w:val="008F3BD0"/>
    <w:rsid w:val="009147F5"/>
    <w:rsid w:val="00914B0D"/>
    <w:rsid w:val="00925EC8"/>
    <w:rsid w:val="0095728B"/>
    <w:rsid w:val="00966185"/>
    <w:rsid w:val="00994D2C"/>
    <w:rsid w:val="009A5B8F"/>
    <w:rsid w:val="009A6C3A"/>
    <w:rsid w:val="009B01C4"/>
    <w:rsid w:val="009B2A18"/>
    <w:rsid w:val="009D1381"/>
    <w:rsid w:val="009D37B3"/>
    <w:rsid w:val="009E2A09"/>
    <w:rsid w:val="009F2EEB"/>
    <w:rsid w:val="009F3DF0"/>
    <w:rsid w:val="00A20003"/>
    <w:rsid w:val="00A330F8"/>
    <w:rsid w:val="00A36979"/>
    <w:rsid w:val="00A40983"/>
    <w:rsid w:val="00A70231"/>
    <w:rsid w:val="00A7625F"/>
    <w:rsid w:val="00A81499"/>
    <w:rsid w:val="00A869A9"/>
    <w:rsid w:val="00A8704F"/>
    <w:rsid w:val="00AA2BF0"/>
    <w:rsid w:val="00AE2B0C"/>
    <w:rsid w:val="00AE5E65"/>
    <w:rsid w:val="00AF6857"/>
    <w:rsid w:val="00B012A4"/>
    <w:rsid w:val="00B0362F"/>
    <w:rsid w:val="00B445F0"/>
    <w:rsid w:val="00B61D11"/>
    <w:rsid w:val="00B62F8F"/>
    <w:rsid w:val="00B76D85"/>
    <w:rsid w:val="00B778DF"/>
    <w:rsid w:val="00BA0244"/>
    <w:rsid w:val="00BB50B2"/>
    <w:rsid w:val="00BC4041"/>
    <w:rsid w:val="00BD244D"/>
    <w:rsid w:val="00BE064C"/>
    <w:rsid w:val="00BE2D76"/>
    <w:rsid w:val="00BE57E9"/>
    <w:rsid w:val="00BF3C53"/>
    <w:rsid w:val="00C01716"/>
    <w:rsid w:val="00C04FA2"/>
    <w:rsid w:val="00C12B7F"/>
    <w:rsid w:val="00C51021"/>
    <w:rsid w:val="00C55A2D"/>
    <w:rsid w:val="00C60310"/>
    <w:rsid w:val="00C63F92"/>
    <w:rsid w:val="00C74063"/>
    <w:rsid w:val="00C75701"/>
    <w:rsid w:val="00C76611"/>
    <w:rsid w:val="00C857BE"/>
    <w:rsid w:val="00CA2198"/>
    <w:rsid w:val="00CB6436"/>
    <w:rsid w:val="00D039F6"/>
    <w:rsid w:val="00D0766C"/>
    <w:rsid w:val="00D20316"/>
    <w:rsid w:val="00D55450"/>
    <w:rsid w:val="00D656FA"/>
    <w:rsid w:val="00D86282"/>
    <w:rsid w:val="00DA1301"/>
    <w:rsid w:val="00DB4594"/>
    <w:rsid w:val="00DC1D36"/>
    <w:rsid w:val="00DC37D9"/>
    <w:rsid w:val="00DC74A3"/>
    <w:rsid w:val="00DE0D1F"/>
    <w:rsid w:val="00DE42E3"/>
    <w:rsid w:val="00DE7855"/>
    <w:rsid w:val="00DF7DB9"/>
    <w:rsid w:val="00E11D8B"/>
    <w:rsid w:val="00E12049"/>
    <w:rsid w:val="00E1757D"/>
    <w:rsid w:val="00E26E3C"/>
    <w:rsid w:val="00E512D1"/>
    <w:rsid w:val="00E5476F"/>
    <w:rsid w:val="00E83C51"/>
    <w:rsid w:val="00E91097"/>
    <w:rsid w:val="00E91674"/>
    <w:rsid w:val="00E953D6"/>
    <w:rsid w:val="00EA3ECD"/>
    <w:rsid w:val="00EB5B3C"/>
    <w:rsid w:val="00EC50B0"/>
    <w:rsid w:val="00EE0164"/>
    <w:rsid w:val="00EE64A9"/>
    <w:rsid w:val="00EF3414"/>
    <w:rsid w:val="00F123B1"/>
    <w:rsid w:val="00F169FA"/>
    <w:rsid w:val="00F34B5A"/>
    <w:rsid w:val="00F44177"/>
    <w:rsid w:val="00F62890"/>
    <w:rsid w:val="00F85304"/>
    <w:rsid w:val="00FA0EBB"/>
    <w:rsid w:val="00FB1C75"/>
    <w:rsid w:val="00FC797D"/>
    <w:rsid w:val="00FE5D00"/>
    <w:rsid w:val="00FF5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97E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1">
    <w:name w:val="Virsraksts 11"/>
    <w:rsid w:val="00DC1D36"/>
    <w:rPr>
      <w:b/>
      <w:i/>
      <w:sz w:val="24"/>
      <w:szCs w:val="28"/>
    </w:rPr>
  </w:style>
  <w:style w:type="paragraph" w:customStyle="1" w:styleId="Virsraksts21">
    <w:name w:val="Virsraksts 21"/>
    <w:rsid w:val="00DC1D36"/>
    <w:rPr>
      <w:b/>
      <w:i/>
      <w:sz w:val="22"/>
      <w:szCs w:val="28"/>
    </w:rPr>
  </w:style>
  <w:style w:type="paragraph" w:customStyle="1" w:styleId="Virsraksts31">
    <w:name w:val="Virsraksts 31"/>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character" w:styleId="CommentReference">
    <w:name w:val="annotation reference"/>
    <w:basedOn w:val="DefaultParagraphFont"/>
    <w:rsid w:val="00300DBA"/>
    <w:rPr>
      <w:sz w:val="16"/>
      <w:szCs w:val="16"/>
    </w:rPr>
  </w:style>
  <w:style w:type="paragraph" w:styleId="CommentSubject">
    <w:name w:val="annotation subject"/>
    <w:basedOn w:val="CommentText"/>
    <w:next w:val="CommentText"/>
    <w:link w:val="CommentSubjectChar"/>
    <w:rsid w:val="00300DBA"/>
    <w:rPr>
      <w:b/>
      <w:bCs/>
    </w:rPr>
  </w:style>
  <w:style w:type="character" w:customStyle="1" w:styleId="CommentSubjectChar">
    <w:name w:val="Comment Subject Char"/>
    <w:basedOn w:val="CommentTextChar"/>
    <w:link w:val="CommentSubject"/>
    <w:rsid w:val="00300DBA"/>
    <w:rPr>
      <w:b/>
      <w:bCs/>
      <w:lang w:val="lv-LV" w:eastAsia="lv-LV" w:bidi="ar-SA"/>
    </w:rPr>
  </w:style>
  <w:style w:type="character" w:styleId="Hyperlink">
    <w:name w:val="Hyperlink"/>
    <w:rsid w:val="00A7625F"/>
    <w:rPr>
      <w:color w:val="0000FF"/>
      <w:u w:val="single"/>
    </w:rPr>
  </w:style>
  <w:style w:type="paragraph" w:styleId="ListParagraph">
    <w:name w:val="List Paragraph"/>
    <w:basedOn w:val="Normal"/>
    <w:uiPriority w:val="34"/>
    <w:qFormat/>
    <w:rsid w:val="00875CB1"/>
    <w:pPr>
      <w:ind w:left="720"/>
      <w:contextualSpacing/>
    </w:pPr>
  </w:style>
  <w:style w:type="character" w:styleId="Emphasis">
    <w:name w:val="Emphasis"/>
    <w:uiPriority w:val="20"/>
    <w:qFormat/>
    <w:rsid w:val="00E11D8B"/>
    <w:rPr>
      <w:i/>
      <w:iCs/>
    </w:rPr>
  </w:style>
  <w:style w:type="paragraph" w:customStyle="1" w:styleId="tv2131">
    <w:name w:val="tv2131"/>
    <w:basedOn w:val="Normal"/>
    <w:uiPriority w:val="99"/>
    <w:rsid w:val="00E11D8B"/>
    <w:pPr>
      <w:spacing w:line="360" w:lineRule="auto"/>
      <w:ind w:firstLine="300"/>
    </w:pPr>
    <w:rPr>
      <w:color w:val="414142"/>
      <w:sz w:val="20"/>
      <w:szCs w:val="20"/>
    </w:rPr>
  </w:style>
  <w:style w:type="character" w:customStyle="1" w:styleId="apple-converted-space">
    <w:name w:val="apple-converted-space"/>
    <w:rsid w:val="00E11D8B"/>
  </w:style>
  <w:style w:type="character" w:customStyle="1" w:styleId="cipariChar">
    <w:name w:val="cipari Char"/>
    <w:link w:val="cipari"/>
    <w:uiPriority w:val="99"/>
    <w:locked/>
    <w:rsid w:val="000A4751"/>
  </w:style>
  <w:style w:type="paragraph" w:customStyle="1" w:styleId="cipari">
    <w:name w:val="cipari"/>
    <w:basedOn w:val="Normal"/>
    <w:link w:val="cipariChar"/>
    <w:uiPriority w:val="99"/>
    <w:qFormat/>
    <w:rsid w:val="000A4751"/>
    <w:pPr>
      <w:ind w:left="720" w:hanging="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1">
    <w:name w:val="Virsraksts 11"/>
    <w:rsid w:val="00DC1D36"/>
    <w:rPr>
      <w:b/>
      <w:i/>
      <w:sz w:val="24"/>
      <w:szCs w:val="28"/>
    </w:rPr>
  </w:style>
  <w:style w:type="paragraph" w:customStyle="1" w:styleId="Virsraksts21">
    <w:name w:val="Virsraksts 21"/>
    <w:rsid w:val="00DC1D36"/>
    <w:rPr>
      <w:b/>
      <w:i/>
      <w:sz w:val="22"/>
      <w:szCs w:val="28"/>
    </w:rPr>
  </w:style>
  <w:style w:type="paragraph" w:customStyle="1" w:styleId="Virsraksts31">
    <w:name w:val="Virsraksts 31"/>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character" w:styleId="CommentReference">
    <w:name w:val="annotation reference"/>
    <w:basedOn w:val="DefaultParagraphFont"/>
    <w:rsid w:val="00300DBA"/>
    <w:rPr>
      <w:sz w:val="16"/>
      <w:szCs w:val="16"/>
    </w:rPr>
  </w:style>
  <w:style w:type="paragraph" w:styleId="CommentSubject">
    <w:name w:val="annotation subject"/>
    <w:basedOn w:val="CommentText"/>
    <w:next w:val="CommentText"/>
    <w:link w:val="CommentSubjectChar"/>
    <w:rsid w:val="00300DBA"/>
    <w:rPr>
      <w:b/>
      <w:bCs/>
    </w:rPr>
  </w:style>
  <w:style w:type="character" w:customStyle="1" w:styleId="CommentSubjectChar">
    <w:name w:val="Comment Subject Char"/>
    <w:basedOn w:val="CommentTextChar"/>
    <w:link w:val="CommentSubject"/>
    <w:rsid w:val="00300DBA"/>
    <w:rPr>
      <w:b/>
      <w:bCs/>
      <w:lang w:val="lv-LV" w:eastAsia="lv-LV" w:bidi="ar-SA"/>
    </w:rPr>
  </w:style>
  <w:style w:type="character" w:styleId="Hyperlink">
    <w:name w:val="Hyperlink"/>
    <w:rsid w:val="00A7625F"/>
    <w:rPr>
      <w:color w:val="0000FF"/>
      <w:u w:val="single"/>
    </w:rPr>
  </w:style>
  <w:style w:type="paragraph" w:styleId="ListParagraph">
    <w:name w:val="List Paragraph"/>
    <w:basedOn w:val="Normal"/>
    <w:uiPriority w:val="34"/>
    <w:qFormat/>
    <w:rsid w:val="00875CB1"/>
    <w:pPr>
      <w:ind w:left="720"/>
      <w:contextualSpacing/>
    </w:pPr>
  </w:style>
  <w:style w:type="character" w:styleId="Emphasis">
    <w:name w:val="Emphasis"/>
    <w:uiPriority w:val="20"/>
    <w:qFormat/>
    <w:rsid w:val="00E11D8B"/>
    <w:rPr>
      <w:i/>
      <w:iCs/>
    </w:rPr>
  </w:style>
  <w:style w:type="paragraph" w:customStyle="1" w:styleId="tv2131">
    <w:name w:val="tv2131"/>
    <w:basedOn w:val="Normal"/>
    <w:uiPriority w:val="99"/>
    <w:rsid w:val="00E11D8B"/>
    <w:pPr>
      <w:spacing w:line="360" w:lineRule="auto"/>
      <w:ind w:firstLine="300"/>
    </w:pPr>
    <w:rPr>
      <w:color w:val="414142"/>
      <w:sz w:val="20"/>
      <w:szCs w:val="20"/>
    </w:rPr>
  </w:style>
  <w:style w:type="character" w:customStyle="1" w:styleId="apple-converted-space">
    <w:name w:val="apple-converted-space"/>
    <w:rsid w:val="00E11D8B"/>
  </w:style>
  <w:style w:type="character" w:customStyle="1" w:styleId="cipariChar">
    <w:name w:val="cipari Char"/>
    <w:link w:val="cipari"/>
    <w:uiPriority w:val="99"/>
    <w:locked/>
    <w:rsid w:val="000A4751"/>
  </w:style>
  <w:style w:type="paragraph" w:customStyle="1" w:styleId="cipari">
    <w:name w:val="cipari"/>
    <w:basedOn w:val="Normal"/>
    <w:link w:val="cipariChar"/>
    <w:uiPriority w:val="99"/>
    <w:qFormat/>
    <w:rsid w:val="000A4751"/>
    <w:pPr>
      <w:ind w:left="720" w:hanging="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518">
      <w:bodyDiv w:val="1"/>
      <w:marLeft w:val="0"/>
      <w:marRight w:val="0"/>
      <w:marTop w:val="0"/>
      <w:marBottom w:val="0"/>
      <w:divBdr>
        <w:top w:val="none" w:sz="0" w:space="0" w:color="auto"/>
        <w:left w:val="none" w:sz="0" w:space="0" w:color="auto"/>
        <w:bottom w:val="none" w:sz="0" w:space="0" w:color="auto"/>
        <w:right w:val="none" w:sz="0" w:space="0" w:color="auto"/>
      </w:divBdr>
    </w:div>
    <w:div w:id="3913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E99E-842D-4910-8297-EF4294D6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11340</Words>
  <Characters>6465</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valsts statistikas pārskatiem sociālo pakalpojumu un sociālās palīdzības jomā"</vt:lpstr>
      <vt:lpstr>Ministru kabineta noteikumu projekts „Noteikumi par valsts statistikas pārskatiem sociālo pakalpojumu un sociālās palīdzības jomā"</vt:lpstr>
    </vt:vector>
  </TitlesOfParts>
  <Company>LM</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statistikas pārskatiem sociālo pakalpojumu un sociālās palīdzības jomā"</dc:title>
  <dc:subject>Anotācija</dc:subject>
  <dc:creator>Žanis Buhanovskis</dc:creator>
  <dc:description>Tālrunis: 67021670_x000d_
e-pasts: zanis.buhanovskis@lm.gov.lv</dc:description>
  <cp:lastModifiedBy>Laimdota Adlere</cp:lastModifiedBy>
  <cp:revision>4</cp:revision>
  <cp:lastPrinted>2017-05-23T07:03:00Z</cp:lastPrinted>
  <dcterms:created xsi:type="dcterms:W3CDTF">2017-05-30T08:20:00Z</dcterms:created>
  <dcterms:modified xsi:type="dcterms:W3CDTF">2017-05-30T08:20:00Z</dcterms:modified>
</cp:coreProperties>
</file>